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444444"/>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857C"/>
          <w:sz w:val="30"/>
        </w:rPr>
        <w:t>Synthomer Chester SC (US)</w:t>
      </w:r>
    </w:p>
    <w:p>
      <w:pPr>
        <w:spacing w:before="60" w:after="360"/>
        <w:jc w:val="center"/>
      </w:pPr>
      <w:r>
        <w:rPr>
          <w:b w:val="0"/>
          <w:i w:val="0"/>
          <w:color w:val="444444"/>
          <w:sz w:val="20"/>
        </w:rPr>
        <w:t>Reporting Month: May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shd w:val="clear" w:color="auto" w:fill="00857C"/>
          </w:tcPr>
          <w:p>
            <w:pPr>
              <w:spacing w:before="60" w:after="60"/>
            </w:pPr>
            <w:r>
              <w:rPr>
                <w:b/>
                <w:color w:val="FFFFFF"/>
                <w:sz w:val="18"/>
              </w:rPr>
              <w:t>Customer / Site</w:t>
            </w:r>
          </w:p>
        </w:tc>
        <w:tc>
          <w:tcPr>
            <w:tcW w:type="dxa" w:w="1701"/>
            <w:shd w:val="clear" w:color="auto" w:fill="00857C"/>
          </w:tcPr>
          <w:p>
            <w:pPr>
              <w:spacing w:before="60" w:after="60"/>
            </w:pPr>
            <w:r>
              <w:rPr>
                <w:b/>
                <w:color w:val="FFFFFF"/>
                <w:sz w:val="18"/>
              </w:rPr>
              <w:t>System</w:t>
            </w:r>
          </w:p>
        </w:tc>
        <w:tc>
          <w:tcPr>
            <w:tcW w:type="dxa" w:w="1984"/>
            <w:shd w:val="clear" w:color="auto" w:fill="00857C"/>
          </w:tcPr>
          <w:p>
            <w:pPr>
              <w:spacing w:before="60" w:after="60"/>
            </w:pPr>
            <w:r>
              <w:rPr>
                <w:b/>
                <w:color w:val="FFFFFF"/>
                <w:sz w:val="18"/>
              </w:rPr>
              <w:t>Controller</w:t>
            </w:r>
          </w:p>
        </w:tc>
        <w:tc>
          <w:tcPr>
            <w:tcW w:type="dxa" w:w="2551"/>
            <w:shd w:val="clear" w:color="auto" w:fill="00857C"/>
          </w:tcPr>
          <w:p>
            <w:pPr>
              <w:spacing w:before="60" w:after="60"/>
            </w:pPr>
            <w:r>
              <w:rPr>
                <w:b/>
                <w:color w:val="FFFFFF"/>
                <w:sz w:val="18"/>
              </w:rPr>
              <w:t>Prepared For</w:t>
            </w:r>
          </w:p>
        </w:tc>
      </w:tr>
      <w:tr>
        <w:tc>
          <w:tcPr>
            <w:tcW w:type="dxa" w:w="3118"/>
            <w:shd w:val="clear" w:color="auto" w:fill="FFFFFF"/>
          </w:tcPr>
          <w:p>
            <w:pPr>
              <w:spacing w:before="60" w:after="60"/>
            </w:pPr>
            <w:r>
              <w:rPr>
                <w:sz w:val="18"/>
              </w:rPr>
              <w:t>Synthomer Chester SC (US)</w:t>
            </w:r>
          </w:p>
        </w:tc>
        <w:tc>
          <w:tcPr>
            <w:tcW w:type="dxa" w:w="1701"/>
            <w:shd w:val="clear" w:color="auto" w:fill="FFFFFF"/>
          </w:tcPr>
          <w:p>
            <w:pPr>
              <w:spacing w:before="60" w:after="60"/>
            </w:pPr>
            <w:r>
              <w:rPr>
                <w:sz w:val="18"/>
              </w:rPr>
              <w:t>Cooling Tower</w:t>
            </w:r>
          </w:p>
        </w:tc>
        <w:tc>
          <w:tcPr>
            <w:tcW w:type="dxa" w:w="1984"/>
            <w:shd w:val="clear" w:color="auto" w:fill="FFFFFF"/>
          </w:tcPr>
          <w:p>
            <w:pPr>
              <w:spacing w:before="60" w:after="60"/>
            </w:pPr>
            <w:r>
              <w:rPr>
                <w:sz w:val="18"/>
              </w:rPr>
              <w:t>84253f5ee2c1</w:t>
            </w:r>
          </w:p>
        </w:tc>
        <w:tc>
          <w:tcPr>
            <w:tcW w:type="dxa" w:w="2551"/>
            <w:shd w:val="clear" w:color="auto" w:fill="FFFFFF"/>
          </w:tcPr>
          <w:p>
            <w:pPr>
              <w:spacing w:before="60" w:after="60"/>
            </w:pPr>
            <w:r>
              <w:rPr>
                <w:sz w:val="18"/>
              </w:rPr>
              <w:t>Monthly Performance Review</w:t>
            </w:r>
          </w:p>
        </w:tc>
      </w:tr>
    </w:tbl>
    <w:p/>
    <w:p>
      <w:pPr>
        <w:spacing w:before="200" w:after="120"/>
        <w:jc w:val="left"/>
      </w:pPr>
    </w:p>
    <w:p>
      <w:pPr>
        <w:spacing w:before="80" w:after="120"/>
        <w:jc w:val="center"/>
      </w:pPr>
      <w:r>
        <w:rPr>
          <w:b w:val="0"/>
          <w:i w:val="0"/>
          <w:color w:val="444444"/>
          <w:sz w:val="19"/>
        </w:rPr>
        <w:t>This report summarises corrosion control, scale control, microbial control, water efficiency, product efficiency, and proactive system support for Synthomer Chester SC (US), May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shd w:val="clear" w:color="auto" w:fill="00857C"/>
          </w:tcPr>
          <w:p>
            <w:pPr>
              <w:spacing w:before="60" w:after="60"/>
            </w:pPr>
            <w:r>
              <w:rPr>
                <w:b/>
                <w:color w:val="FFFFFF"/>
                <w:sz w:val="18"/>
              </w:rPr>
              <w:t>Prepared By</w:t>
            </w:r>
          </w:p>
        </w:tc>
        <w:tc>
          <w:tcPr>
            <w:tcW w:type="dxa" w:w="2835"/>
            <w:shd w:val="clear" w:color="auto" w:fill="00857C"/>
          </w:tcPr>
          <w:p>
            <w:pPr>
              <w:spacing w:before="60" w:after="60"/>
            </w:pPr>
            <w:r>
              <w:rPr>
                <w:b/>
                <w:color w:val="FFFFFF"/>
                <w:sz w:val="18"/>
              </w:rPr>
              <w:t>Prepared Date</w:t>
            </w:r>
          </w:p>
        </w:tc>
        <w:tc>
          <w:tcPr>
            <w:tcW w:type="dxa" w:w="3402"/>
            <w:shd w:val="clear" w:color="auto" w:fill="00857C"/>
          </w:tcPr>
          <w:p>
            <w:pPr>
              <w:spacing w:before="60" w:after="60"/>
            </w:pPr>
            <w:r>
              <w:rPr>
                <w:b/>
                <w:color w:val="FFFFFF"/>
                <w:sz w:val="18"/>
              </w:rPr>
              <w:t>Report Status</w:t>
            </w:r>
          </w:p>
        </w:tc>
      </w:tr>
      <w:tr>
        <w:tc>
          <w:tcPr>
            <w:tcW w:type="dxa" w:w="3118"/>
            <w:shd w:val="clear" w:color="auto" w:fill="FFFFFF"/>
          </w:tcPr>
          <w:p>
            <w:pPr>
              <w:spacing w:before="60" w:after="60"/>
            </w:pPr>
            <w:r>
              <w:rPr>
                <w:sz w:val="18"/>
              </w:rPr>
              <w:t>Buckman Digital Water</w:t>
            </w:r>
          </w:p>
        </w:tc>
        <w:tc>
          <w:tcPr>
            <w:tcW w:type="dxa" w:w="2835"/>
            <w:shd w:val="clear" w:color="auto" w:fill="FFFFFF"/>
          </w:tcPr>
          <w:p>
            <w:pPr>
              <w:spacing w:before="60" w:after="60"/>
            </w:pPr>
            <w:r>
              <w:rPr>
                <w:sz w:val="18"/>
              </w:rPr>
              <w:t>04 July 2026</w:t>
            </w:r>
          </w:p>
        </w:tc>
        <w:tc>
          <w:tcPr>
            <w:tcW w:type="dxa" w:w="3402"/>
            <w:shd w:val="clear" w:color="auto" w:fill="FFFFFF"/>
          </w:tcPr>
          <w:p>
            <w:pPr>
              <w:spacing w:before="60" w:after="60"/>
            </w:pPr>
            <w:r>
              <w:rPr>
                <w:sz w:val="18"/>
              </w:rPr>
              <w:t>Draft</w:t>
            </w:r>
          </w:p>
        </w:tc>
      </w:tr>
    </w:tbl>
    <w:p/>
    <w:p>
      <w:r>
        <w:br w:type="page"/>
      </w:r>
    </w:p>
    <w:p>
      <w:pPr>
        <w:pBdr>
          <w:bottom w:val="single" w:sz="8" w:space="4" w:color="00857C"/>
        </w:pBdr>
        <w:spacing w:before="280" w:after="80"/>
      </w:pPr>
      <w:r>
        <w:rPr>
          <w:b/>
          <w:color w:val="00857C"/>
          <w:sz w:val="32"/>
        </w:rPr>
        <w:t>Executive Summary</w:t>
      </w:r>
    </w:p>
    <w:p>
      <w:pPr>
        <w:spacing w:before="200" w:after="60"/>
      </w:pPr>
      <w:r>
        <w:rPr>
          <w:b/>
          <w:color w:val="005F58"/>
          <w:sz w:val="26"/>
        </w:rPr>
        <w:t>System Health Check</w:t>
      </w:r>
    </w:p>
    <w:p>
      <w:pPr>
        <w:spacing w:before="160" w:after="40"/>
      </w:pPr>
      <w:r>
        <w:rPr>
          <w:b/>
          <w:color w:val="222222"/>
          <w:sz w:val="22"/>
        </w:rPr>
        <w:t>Corrosion Control</w:t>
      </w:r>
    </w:p>
    <w:p>
      <w:pPr>
        <w:spacing w:before="60" w:after="100"/>
      </w:pPr>
      <w:r>
        <w:rPr>
          <w:b/>
          <w:sz w:val="20"/>
        </w:rPr>
        <w:t xml:space="preserve">Status: </w:t>
      </w:r>
      <w:r>
        <w:rPr>
          <w:b/>
          <w:color w:val="00857C"/>
          <w:sz w:val="20"/>
        </w:rPr>
        <w:t>Good</w:t>
      </w:r>
    </w:p>
    <w:p>
      <w:pPr>
        <w:spacing w:before="80" w:after="120"/>
        <w:jc w:val="left"/>
      </w:pPr>
      <w:r>
        <w:rPr>
          <w:b w:val="0"/>
          <w:i w:val="0"/>
          <w:sz w:val="20"/>
        </w:rPr>
        <w:t>The average mild steel corrosion rate was 0.24 MPY against the target of within 3.0 MPY, and the average copper corrosion rate was 0.2200 MPY against the target of within 0.5 MPY. Corrosion control status was Good, with both metals operating within the program targets for the reporting period.</w:t>
      </w:r>
    </w:p>
    <w:p>
      <w:pPr>
        <w:spacing w:before="160" w:after="40"/>
      </w:pPr>
      <w:r>
        <w:rPr>
          <w:b/>
          <w:color w:val="222222"/>
          <w:sz w:val="22"/>
        </w:rPr>
        <w:t>Scale Control</w:t>
      </w:r>
    </w:p>
    <w:p>
      <w:pPr>
        <w:spacing w:before="60" w:after="100"/>
      </w:pPr>
      <w:r>
        <w:rPr>
          <w:b/>
          <w:sz w:val="20"/>
        </w:rPr>
        <w:t xml:space="preserve">Status: </w:t>
      </w:r>
      <w:r>
        <w:rPr>
          <w:b/>
          <w:color w:val="B8860B"/>
          <w:sz w:val="20"/>
        </w:rPr>
        <w:t>Stable</w:t>
      </w:r>
    </w:p>
    <w:p>
      <w:pPr>
        <w:spacing w:before="80" w:after="120"/>
        <w:jc w:val="left"/>
      </w:pPr>
      <w:r>
        <w:rPr>
          <w:b w:val="0"/>
          <w:i w:val="0"/>
          <w:sz w:val="20"/>
        </w:rPr>
        <w:t>Scale Control status is Action Required because only 10.0% of recent Traced Product readings were within the Controller Setpoint range. Observation: Traced Product concentration was above the Controller Setpoint upper control limit of 105.0 ppm, indicating overfeeding. The Traced Product mean was 106.8 ppm compared with the Controller Setpoint target of 100.0 ppm and range of 95.0-105.0 ppm. Conductivity was stable during the same period, indicating this is a product feed or calibration issue, not a water loss event. Recommendation: Check dosing pump rate and reduce if running above setpoint. Verify fluorometer calibration with a grab sample. Review the dosing schedule and confirm the relay is not in manual override.</w:t>
      </w:r>
    </w:p>
    <w:p>
      <w:pPr>
        <w:spacing w:before="160" w:after="40"/>
      </w:pPr>
      <w:r>
        <w:rPr>
          <w:b/>
          <w:color w:val="222222"/>
          <w:sz w:val="22"/>
        </w:rPr>
        <w:t>Microbial Control</w:t>
      </w:r>
    </w:p>
    <w:p>
      <w:pPr>
        <w:spacing w:before="60" w:after="100"/>
      </w:pPr>
      <w:r>
        <w:rPr>
          <w:b/>
          <w:sz w:val="20"/>
        </w:rPr>
        <w:t xml:space="preserve">Status: </w:t>
      </w:r>
      <w:r>
        <w:rPr>
          <w:b/>
          <w:color w:val="B8860B"/>
          <w:sz w:val="20"/>
        </w:rPr>
        <w:t>Stable</w:t>
      </w:r>
    </w:p>
    <w:p>
      <w:pPr>
        <w:spacing w:before="80" w:after="120"/>
        <w:jc w:val="left"/>
      </w:pPr>
      <w:r>
        <w:rPr>
          <w:b w:val="0"/>
          <w:i w:val="0"/>
          <w:sz w:val="20"/>
        </w:rPr>
        <w:t>Microbial Control status was Stable. FRC data was not available in the field test data for this reporting period and will be checked during the upcoming service visit. ORP spike response after timer-controlled biocide feed was consistent, indicating the system responded to treatment.</w:t>
      </w:r>
    </w:p>
    <w:p>
      <w:pPr>
        <w:spacing w:before="200" w:after="60"/>
      </w:pPr>
      <w:r>
        <w:rPr>
          <w:b/>
          <w:color w:val="005F58"/>
          <w:sz w:val="26"/>
        </w:rPr>
        <w:t>Water Efficiency</w:t>
      </w:r>
    </w:p>
    <w:p>
      <w:pPr>
        <w:spacing w:before="60" w:after="100"/>
      </w:pPr>
      <w:r>
        <w:rPr>
          <w:b/>
          <w:sz w:val="20"/>
        </w:rPr>
        <w:t xml:space="preserve">Status: </w:t>
      </w:r>
      <w:r>
        <w:rPr>
          <w:b/>
          <w:color w:val="00857C"/>
          <w:sz w:val="20"/>
        </w:rPr>
        <w:t>Good</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1928"/>
            <w:shd w:val="clear" w:color="auto" w:fill="00857C"/>
          </w:tcPr>
          <w:p>
            <w:pPr>
              <w:spacing w:before="60" w:after="60"/>
            </w:pPr>
            <w:r>
              <w:rPr>
                <w:b/>
                <w:color w:val="FFFFFF"/>
                <w:sz w:val="18"/>
              </w:rPr>
              <w:t>MU Conductivity</w:t>
            </w:r>
          </w:p>
        </w:tc>
        <w:tc>
          <w:tcPr>
            <w:tcW w:type="dxa" w:w="1928"/>
            <w:shd w:val="clear" w:color="auto" w:fill="00857C"/>
          </w:tcPr>
          <w:p>
            <w:pPr>
              <w:spacing w:before="60" w:after="60"/>
            </w:pPr>
            <w:r>
              <w:rPr>
                <w:b/>
                <w:color w:val="FFFFFF"/>
                <w:sz w:val="18"/>
              </w:rPr>
              <w:t>Target COC</w:t>
            </w:r>
          </w:p>
        </w:tc>
        <w:tc>
          <w:tcPr>
            <w:tcW w:type="dxa" w:w="1928"/>
            <w:shd w:val="clear" w:color="auto" w:fill="00857C"/>
          </w:tcPr>
          <w:p>
            <w:pPr>
              <w:spacing w:before="60" w:after="60"/>
            </w:pPr>
            <w:r>
              <w:rPr>
                <w:b/>
                <w:color w:val="FFFFFF"/>
                <w:sz w:val="18"/>
              </w:rPr>
              <w:t>Actual COC</w:t>
            </w:r>
          </w:p>
        </w:tc>
        <w:tc>
          <w:tcPr>
            <w:tcW w:type="dxa" w:w="1928"/>
            <w:shd w:val="clear" w:color="auto" w:fill="00857C"/>
          </w:tcPr>
          <w:p>
            <w:pPr>
              <w:spacing w:before="60" w:after="60"/>
            </w:pPr>
            <w:r>
              <w:rPr>
                <w:b/>
                <w:color w:val="FFFFFF"/>
                <w:sz w:val="18"/>
              </w:rPr>
              <w:t>Deviation</w:t>
            </w:r>
          </w:p>
        </w:tc>
        <w:tc>
          <w:tcPr>
            <w:tcW w:type="dxa" w:w="1928"/>
            <w:shd w:val="clear" w:color="auto" w:fill="00857C"/>
          </w:tcPr>
          <w:p>
            <w:pPr>
              <w:spacing w:before="60" w:after="60"/>
            </w:pPr>
            <w:r>
              <w:rPr>
                <w:b/>
                <w:color w:val="FFFFFF"/>
                <w:sz w:val="18"/>
              </w:rPr>
              <w:t>Status</w:t>
            </w:r>
          </w:p>
        </w:tc>
      </w:tr>
      <w:tr>
        <w:tc>
          <w:tcPr>
            <w:tcW w:type="dxa" w:w="1928"/>
            <w:shd w:val="clear" w:color="auto" w:fill="FFFFFF"/>
          </w:tcPr>
          <w:p>
            <w:pPr>
              <w:spacing w:before="60" w:after="60"/>
            </w:pPr>
            <w:r>
              <w:rPr>
                <w:sz w:val="18"/>
              </w:rPr>
              <w:t>100.0 µS/cm</w:t>
            </w:r>
          </w:p>
        </w:tc>
        <w:tc>
          <w:tcPr>
            <w:tcW w:type="dxa" w:w="1928"/>
            <w:shd w:val="clear" w:color="auto" w:fill="FFFFFF"/>
          </w:tcPr>
          <w:p>
            <w:pPr>
              <w:spacing w:before="60" w:after="60"/>
            </w:pPr>
            <w:r>
              <w:rPr>
                <w:sz w:val="18"/>
              </w:rPr>
              <w:t>10.0</w:t>
            </w:r>
          </w:p>
        </w:tc>
        <w:tc>
          <w:tcPr>
            <w:tcW w:type="dxa" w:w="1928"/>
            <w:shd w:val="clear" w:color="auto" w:fill="FFFFFF"/>
          </w:tcPr>
          <w:p>
            <w:pPr>
              <w:spacing w:before="60" w:after="60"/>
            </w:pPr>
            <w:r>
              <w:rPr>
                <w:sz w:val="18"/>
              </w:rPr>
              <w:t>8.66</w:t>
            </w:r>
          </w:p>
        </w:tc>
        <w:tc>
          <w:tcPr>
            <w:tcW w:type="dxa" w:w="1928"/>
            <w:shd w:val="clear" w:color="auto" w:fill="FFFFFF"/>
          </w:tcPr>
          <w:p>
            <w:pPr>
              <w:spacing w:before="60" w:after="60"/>
            </w:pPr>
            <w:r>
              <w:rPr>
                <w:sz w:val="18"/>
              </w:rPr>
              <w:t>13.4%</w:t>
            </w:r>
          </w:p>
        </w:tc>
        <w:tc>
          <w:tcPr>
            <w:tcW w:type="dxa" w:w="1928"/>
            <w:shd w:val="clear" w:color="auto" w:fill="FFFFFF"/>
          </w:tcPr>
          <w:p>
            <w:pPr>
              <w:spacing w:before="60" w:after="60"/>
            </w:pPr>
            <w:r>
              <w:rPr>
                <w:sz w:val="18"/>
              </w:rPr>
              <w:t>Good</w:t>
            </w:r>
          </w:p>
        </w:tc>
      </w:tr>
    </w:tbl>
    <w:p/>
    <w:p>
      <w:pPr>
        <w:spacing w:before="80" w:after="120"/>
        <w:jc w:val="left"/>
      </w:pPr>
      <w:r>
        <w:rPr>
          <w:b w:val="0"/>
          <w:i w:val="0"/>
          <w:sz w:val="20"/>
        </w:rPr>
        <w:t>Water Efficiency status was Good, with 100.0% of recent conductivity readings within the 950-1050 µS/cm Controller Setpoint range. The 90-day average conductivity was 910.5 µS/cm against a 1000 µS/cm Controller Setpoint, and the actual COC was 9.11 compared with the target COC of 10.0. This represents an 8.9% deviation from target COC, which remains within acceptable performance for the period.</w:t>
      </w:r>
    </w:p>
    <w:p>
      <w:pPr>
        <w:spacing w:before="200" w:after="60"/>
      </w:pPr>
      <w:r>
        <w:rPr>
          <w:b/>
          <w:color w:val="005F58"/>
          <w:sz w:val="26"/>
        </w:rPr>
        <w:t>Product Efficiency</w:t>
      </w:r>
    </w:p>
    <w:p>
      <w:pPr>
        <w:spacing w:before="80" w:after="120"/>
        <w:jc w:val="left"/>
      </w:pPr>
      <w:r>
        <w:rPr>
          <w:b w:val="0"/>
          <w:i w:val="0"/>
          <w:sz w:val="20"/>
        </w:rPr>
        <w:t>Product Efficiency requires attention because Traced Product averaged 106.8 ppm versus the 100.0 ppm Controller Setpoint target and only 10.0% of recent readings were in range, indicating the product is being overdosed. Actual consumption was not available for this reporting period. The dosing pump rate may be too high or the fluorometer may need recalibration; decrease the pump stroke, verify fluorometer calibration with a grab sample, check the dosing valve, and inspect the probe, which will be addressed at the next service visit.</w:t>
      </w:r>
    </w:p>
    <w:p>
      <w:pPr>
        <w:spacing w:before="200" w:after="60"/>
      </w:pPr>
      <w:r>
        <w:rPr>
          <w:b/>
          <w:color w:val="005F58"/>
          <w:sz w:val="26"/>
        </w:rPr>
        <w:t>Proactive System Support</w:t>
      </w:r>
    </w:p>
    <w:p>
      <w:pPr>
        <w:spacing w:before="80" w:after="120"/>
        <w:jc w:val="left"/>
      </w:pPr>
      <w:r>
        <w:rPr>
          <w:b w:val="0"/>
          <w:i w:val="0"/>
          <w:sz w:val="20"/>
        </w:rPr>
        <w:t>Proactive System Support: No alarm data was available for this reporting period, so performance was reviewed against the Ackumen average of 6 alarms per controller. No service notes were recorded, and no completed service actions were documented for the month.</w:t>
      </w:r>
    </w:p>
    <w:p>
      <w:r>
        <w:br w:type="page"/>
      </w:r>
    </w:p>
    <w:p>
      <w:pPr>
        <w:pBdr>
          <w:bottom w:val="single" w:sz="8" w:space="4" w:color="00857C"/>
        </w:pBdr>
        <w:spacing w:before="280" w:after="80"/>
      </w:pPr>
      <w:r>
        <w:rPr>
          <w:b/>
          <w:color w:val="00857C"/>
          <w:sz w:val="32"/>
        </w:rPr>
        <w:t>Performance Summary</w:t>
      </w:r>
    </w:p>
    <w:p>
      <w:pPr>
        <w:spacing w:before="80" w:after="120"/>
        <w:jc w:val="left"/>
      </w:pPr>
      <w:r>
        <w:rPr>
          <w:b w:val="0"/>
          <w:i/>
          <w:color w:val="444444"/>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814"/>
            <w:shd w:val="clear" w:color="auto" w:fill="00857C"/>
          </w:tcPr>
          <w:p>
            <w:pPr>
              <w:spacing w:before="60" w:after="60"/>
            </w:pPr>
            <w:r>
              <w:rPr>
                <w:b/>
                <w:color w:val="FFFFFF"/>
                <w:sz w:val="18"/>
              </w:rPr>
              <w:t>Parameter</w:t>
            </w:r>
          </w:p>
        </w:tc>
        <w:tc>
          <w:tcPr>
            <w:tcW w:type="dxa" w:w="1247"/>
            <w:shd w:val="clear" w:color="auto" w:fill="00857C"/>
          </w:tcPr>
          <w:p>
            <w:pPr>
              <w:spacing w:before="60" w:after="60"/>
            </w:pPr>
            <w:r>
              <w:rPr>
                <w:b/>
                <w:color w:val="FFFFFF"/>
                <w:sz w:val="18"/>
              </w:rPr>
              <w:t>Context Point</w:t>
            </w:r>
          </w:p>
        </w:tc>
        <w:tc>
          <w:tcPr>
            <w:tcW w:type="dxa" w:w="850"/>
            <w:shd w:val="clear" w:color="auto" w:fill="00857C"/>
          </w:tcPr>
          <w:p>
            <w:pPr>
              <w:spacing w:before="60" w:after="60"/>
            </w:pPr>
            <w:r>
              <w:rPr>
                <w:b/>
                <w:color w:val="FFFFFF"/>
                <w:sz w:val="18"/>
              </w:rPr>
              <w:t>Average</w:t>
            </w:r>
          </w:p>
        </w:tc>
        <w:tc>
          <w:tcPr>
            <w:tcW w:type="dxa" w:w="850"/>
            <w:shd w:val="clear" w:color="auto" w:fill="00857C"/>
          </w:tcPr>
          <w:p>
            <w:pPr>
              <w:spacing w:before="60" w:after="60"/>
            </w:pPr>
            <w:r>
              <w:rPr>
                <w:b/>
                <w:color w:val="FFFFFF"/>
                <w:sz w:val="18"/>
              </w:rPr>
              <w:t>Std Dev</w:t>
            </w:r>
          </w:p>
        </w:tc>
        <w:tc>
          <w:tcPr>
            <w:tcW w:type="dxa" w:w="794"/>
            <w:shd w:val="clear" w:color="auto" w:fill="00857C"/>
          </w:tcPr>
          <w:p>
            <w:pPr>
              <w:spacing w:before="60" w:after="60"/>
            </w:pPr>
            <w:r>
              <w:rPr>
                <w:b/>
                <w:color w:val="FFFFFF"/>
                <w:sz w:val="18"/>
              </w:rPr>
              <w:t>Min</w:t>
            </w:r>
          </w:p>
        </w:tc>
        <w:tc>
          <w:tcPr>
            <w:tcW w:type="dxa" w:w="794"/>
            <w:shd w:val="clear" w:color="auto" w:fill="00857C"/>
          </w:tcPr>
          <w:p>
            <w:pPr>
              <w:spacing w:before="60" w:after="60"/>
            </w:pPr>
            <w:r>
              <w:rPr>
                <w:b/>
                <w:color w:val="FFFFFF"/>
                <w:sz w:val="18"/>
              </w:rPr>
              <w:t>Max</w:t>
            </w:r>
          </w:p>
        </w:tc>
        <w:tc>
          <w:tcPr>
            <w:tcW w:type="dxa" w:w="964"/>
            <w:shd w:val="clear" w:color="auto" w:fill="00857C"/>
          </w:tcPr>
          <w:p>
            <w:pPr>
              <w:spacing w:before="60" w:after="60"/>
            </w:pPr>
            <w:r>
              <w:rPr>
                <w:b/>
                <w:color w:val="FFFFFF"/>
                <w:sz w:val="18"/>
              </w:rPr>
              <w:t>Lower Limit</w:t>
            </w:r>
          </w:p>
        </w:tc>
        <w:tc>
          <w:tcPr>
            <w:tcW w:type="dxa" w:w="964"/>
            <w:shd w:val="clear" w:color="auto" w:fill="00857C"/>
          </w:tcPr>
          <w:p>
            <w:pPr>
              <w:spacing w:before="60" w:after="60"/>
            </w:pPr>
            <w:r>
              <w:rPr>
                <w:b/>
                <w:color w:val="FFFFFF"/>
                <w:sz w:val="18"/>
              </w:rPr>
              <w:t>Upper Limit</w:t>
            </w:r>
          </w:p>
        </w:tc>
        <w:tc>
          <w:tcPr>
            <w:tcW w:type="dxa" w:w="1020"/>
            <w:shd w:val="clear" w:color="auto" w:fill="00857C"/>
          </w:tcPr>
          <w:p>
            <w:pPr>
              <w:spacing w:before="60" w:after="60"/>
            </w:pPr>
            <w:r>
              <w:rPr>
                <w:b/>
                <w:color w:val="FFFFFF"/>
                <w:sz w:val="18"/>
              </w:rPr>
              <w:t>% In Range</w:t>
            </w:r>
          </w:p>
        </w:tc>
        <w:tc>
          <w:tcPr>
            <w:tcW w:type="dxa" w:w="1247"/>
            <w:shd w:val="clear" w:color="auto" w:fill="00857C"/>
          </w:tcPr>
          <w:p>
            <w:pPr>
              <w:spacing w:before="60" w:after="60"/>
            </w:pPr>
            <w:r>
              <w:rPr>
                <w:b/>
                <w:color w:val="FFFFFF"/>
                <w:sz w:val="18"/>
              </w:rPr>
              <w:t>Status</w:t>
            </w:r>
          </w:p>
        </w:tc>
      </w:tr>
      <w:tr>
        <w:tc>
          <w:tcPr>
            <w:tcW w:type="dxa" w:w="1814"/>
            <w:shd w:val="clear" w:color="auto" w:fill="FFFFFF"/>
          </w:tcPr>
          <w:p>
            <w:pPr>
              <w:spacing w:before="60" w:after="60"/>
            </w:pPr>
            <w:r>
              <w:rPr>
                <w:sz w:val="18"/>
              </w:rPr>
              <w:t>Corrosion – MS (MPY)</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0.235</w:t>
            </w:r>
          </w:p>
        </w:tc>
        <w:tc>
          <w:tcPr>
            <w:tcW w:type="dxa" w:w="850"/>
            <w:shd w:val="clear" w:color="auto" w:fill="FFFFFF"/>
          </w:tcPr>
          <w:p>
            <w:pPr>
              <w:spacing w:before="60" w:after="60"/>
            </w:pPr>
            <w:r>
              <w:rPr>
                <w:sz w:val="18"/>
              </w:rPr>
              <w:t>0.075</w:t>
            </w:r>
          </w:p>
        </w:tc>
        <w:tc>
          <w:tcPr>
            <w:tcW w:type="dxa" w:w="794"/>
            <w:shd w:val="clear" w:color="auto" w:fill="FFFFFF"/>
          </w:tcPr>
          <w:p>
            <w:pPr>
              <w:spacing w:before="60" w:after="60"/>
            </w:pPr>
            <w:r>
              <w:rPr>
                <w:sz w:val="18"/>
              </w:rPr>
              <w:t>0.100</w:t>
            </w:r>
          </w:p>
        </w:tc>
        <w:tc>
          <w:tcPr>
            <w:tcW w:type="dxa" w:w="794"/>
            <w:shd w:val="clear" w:color="auto" w:fill="FFFFFF"/>
          </w:tcPr>
          <w:p>
            <w:pPr>
              <w:spacing w:before="60" w:after="60"/>
            </w:pPr>
            <w:r>
              <w:rPr>
                <w:sz w:val="18"/>
              </w:rPr>
              <w:t>0.686</w:t>
            </w:r>
          </w:p>
        </w:tc>
        <w:tc>
          <w:tcPr>
            <w:tcW w:type="dxa" w:w="964"/>
            <w:shd w:val="clear" w:color="auto" w:fill="FFFFFF"/>
          </w:tcPr>
          <w:p>
            <w:pPr>
              <w:spacing w:before="60" w:after="60"/>
            </w:pPr>
            <w:r>
              <w:rPr>
                <w:sz w:val="18"/>
              </w:rPr>
              <w:t>0.00</w:t>
            </w:r>
          </w:p>
        </w:tc>
        <w:tc>
          <w:tcPr>
            <w:tcW w:type="dxa" w:w="964"/>
            <w:shd w:val="clear" w:color="auto" w:fill="FFFFFF"/>
          </w:tcPr>
          <w:p>
            <w:pPr>
              <w:spacing w:before="60" w:after="60"/>
            </w:pPr>
            <w:r>
              <w:rPr>
                <w:sz w:val="18"/>
              </w:rPr>
              <w:t>3.00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 Good</w:t>
            </w:r>
          </w:p>
        </w:tc>
      </w:tr>
      <w:tr>
        <w:tc>
          <w:tcPr>
            <w:tcW w:type="dxa" w:w="1814"/>
            <w:shd w:val="clear" w:color="auto" w:fill="F2F8F7"/>
          </w:tcPr>
          <w:p>
            <w:pPr>
              <w:spacing w:before="60" w:after="60"/>
            </w:pPr>
            <w:r>
              <w:rPr>
                <w:sz w:val="18"/>
              </w:rPr>
              <w:t>Corrosion – Cu (MPY)</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0.265</w:t>
            </w:r>
          </w:p>
        </w:tc>
        <w:tc>
          <w:tcPr>
            <w:tcW w:type="dxa" w:w="850"/>
            <w:shd w:val="clear" w:color="auto" w:fill="F2F8F7"/>
          </w:tcPr>
          <w:p>
            <w:pPr>
              <w:spacing w:before="60" w:after="60"/>
            </w:pPr>
            <w:r>
              <w:rPr>
                <w:sz w:val="18"/>
              </w:rPr>
              <w:t>0.225</w:t>
            </w:r>
          </w:p>
        </w:tc>
        <w:tc>
          <w:tcPr>
            <w:tcW w:type="dxa" w:w="794"/>
            <w:shd w:val="clear" w:color="auto" w:fill="F2F8F7"/>
          </w:tcPr>
          <w:p>
            <w:pPr>
              <w:spacing w:before="60" w:after="60"/>
            </w:pPr>
            <w:r>
              <w:rPr>
                <w:sz w:val="18"/>
              </w:rPr>
              <w:t>0.000</w:t>
            </w:r>
          </w:p>
        </w:tc>
        <w:tc>
          <w:tcPr>
            <w:tcW w:type="dxa" w:w="794"/>
            <w:shd w:val="clear" w:color="auto" w:fill="F2F8F7"/>
          </w:tcPr>
          <w:p>
            <w:pPr>
              <w:spacing w:before="60" w:after="60"/>
            </w:pPr>
            <w:r>
              <w:rPr>
                <w:sz w:val="18"/>
              </w:rPr>
              <w:t>1.561</w:t>
            </w:r>
          </w:p>
        </w:tc>
        <w:tc>
          <w:tcPr>
            <w:tcW w:type="dxa" w:w="964"/>
            <w:shd w:val="clear" w:color="auto" w:fill="F2F8F7"/>
          </w:tcPr>
          <w:p>
            <w:pPr>
              <w:spacing w:before="60" w:after="60"/>
            </w:pPr>
            <w:r>
              <w:rPr>
                <w:sz w:val="18"/>
              </w:rPr>
              <w:t>0.00</w:t>
            </w:r>
          </w:p>
        </w:tc>
        <w:tc>
          <w:tcPr>
            <w:tcW w:type="dxa" w:w="964"/>
            <w:shd w:val="clear" w:color="auto" w:fill="F2F8F7"/>
          </w:tcPr>
          <w:p>
            <w:pPr>
              <w:spacing w:before="60" w:after="60"/>
            </w:pPr>
            <w:r>
              <w:rPr>
                <w:sz w:val="18"/>
              </w:rPr>
              <w:t>0.50</w:t>
            </w:r>
          </w:p>
        </w:tc>
        <w:tc>
          <w:tcPr>
            <w:tcW w:type="dxa" w:w="1020"/>
            <w:shd w:val="clear" w:color="auto" w:fill="F2F8F7"/>
          </w:tcPr>
          <w:p>
            <w:pPr>
              <w:spacing w:before="60" w:after="60"/>
            </w:pPr>
            <w:r>
              <w:rPr>
                <w:sz w:val="18"/>
              </w:rPr>
              <w:t>90.0%</w:t>
            </w:r>
          </w:p>
        </w:tc>
        <w:tc>
          <w:tcPr>
            <w:tcW w:type="dxa" w:w="1247"/>
            <w:shd w:val="clear" w:color="auto" w:fill="F2F8F7"/>
          </w:tcPr>
          <w:p>
            <w:pPr>
              <w:spacing w:before="60" w:after="60"/>
            </w:pPr>
            <w:r>
              <w:rPr>
                <w:sz w:val="18"/>
              </w:rPr>
              <w:t>✓ Good</w:t>
            </w:r>
          </w:p>
        </w:tc>
      </w:tr>
      <w:tr>
        <w:tc>
          <w:tcPr>
            <w:tcW w:type="dxa" w:w="1814"/>
            <w:shd w:val="clear" w:color="auto" w:fill="FFFFFF"/>
          </w:tcPr>
          <w:p>
            <w:pPr>
              <w:spacing w:before="60" w:after="60"/>
            </w:pPr>
            <w:r>
              <w:rPr>
                <w:sz w:val="18"/>
              </w:rPr>
              <w:t>Traced Product (ppm)</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105.869</w:t>
            </w:r>
          </w:p>
        </w:tc>
        <w:tc>
          <w:tcPr>
            <w:tcW w:type="dxa" w:w="850"/>
            <w:shd w:val="clear" w:color="auto" w:fill="FFFFFF"/>
          </w:tcPr>
          <w:p>
            <w:pPr>
              <w:spacing w:before="60" w:after="60"/>
            </w:pPr>
            <w:r>
              <w:rPr>
                <w:sz w:val="18"/>
              </w:rPr>
              <w:t>4.218</w:t>
            </w:r>
          </w:p>
        </w:tc>
        <w:tc>
          <w:tcPr>
            <w:tcW w:type="dxa" w:w="794"/>
            <w:shd w:val="clear" w:color="auto" w:fill="FFFFFF"/>
          </w:tcPr>
          <w:p>
            <w:pPr>
              <w:spacing w:before="60" w:after="60"/>
            </w:pPr>
            <w:r>
              <w:rPr>
                <w:sz w:val="18"/>
              </w:rPr>
              <w:t>90.998</w:t>
            </w:r>
          </w:p>
        </w:tc>
        <w:tc>
          <w:tcPr>
            <w:tcW w:type="dxa" w:w="794"/>
            <w:shd w:val="clear" w:color="auto" w:fill="FFFFFF"/>
          </w:tcPr>
          <w:p>
            <w:pPr>
              <w:spacing w:before="60" w:after="60"/>
            </w:pPr>
            <w:r>
              <w:rPr>
                <w:sz w:val="18"/>
              </w:rPr>
              <w:t>123.945</w:t>
            </w:r>
          </w:p>
        </w:tc>
        <w:tc>
          <w:tcPr>
            <w:tcW w:type="dxa" w:w="964"/>
            <w:shd w:val="clear" w:color="auto" w:fill="FFFFFF"/>
          </w:tcPr>
          <w:p>
            <w:pPr>
              <w:spacing w:before="60" w:after="60"/>
            </w:pPr>
            <w:r>
              <w:rPr>
                <w:sz w:val="18"/>
              </w:rPr>
              <w:t>95.0</w:t>
            </w:r>
          </w:p>
        </w:tc>
        <w:tc>
          <w:tcPr>
            <w:tcW w:type="dxa" w:w="964"/>
            <w:shd w:val="clear" w:color="auto" w:fill="FFFFFF"/>
          </w:tcPr>
          <w:p>
            <w:pPr>
              <w:spacing w:before="60" w:after="60"/>
            </w:pPr>
            <w:r>
              <w:rPr>
                <w:sz w:val="18"/>
              </w:rPr>
              <w:t>105.0</w:t>
            </w:r>
          </w:p>
        </w:tc>
        <w:tc>
          <w:tcPr>
            <w:tcW w:type="dxa" w:w="1020"/>
            <w:shd w:val="clear" w:color="auto" w:fill="FFFFFF"/>
          </w:tcPr>
          <w:p>
            <w:pPr>
              <w:spacing w:before="60" w:after="60"/>
            </w:pPr>
            <w:r>
              <w:rPr>
                <w:sz w:val="18"/>
              </w:rPr>
              <w:t>44.1%</w:t>
            </w:r>
          </w:p>
        </w:tc>
        <w:tc>
          <w:tcPr>
            <w:tcW w:type="dxa" w:w="1247"/>
            <w:shd w:val="clear" w:color="auto" w:fill="FFFFFF"/>
          </w:tcPr>
          <w:p>
            <w:pPr>
              <w:spacing w:before="60" w:after="60"/>
            </w:pPr>
            <w:r>
              <w:rPr>
                <w:sz w:val="18"/>
              </w:rPr>
              <w:t>⚠ Stable</w:t>
            </w:r>
          </w:p>
        </w:tc>
      </w:tr>
      <w:tr>
        <w:tc>
          <w:tcPr>
            <w:tcW w:type="dxa" w:w="1814"/>
            <w:shd w:val="clear" w:color="auto" w:fill="F2F8F7"/>
          </w:tcPr>
          <w:p>
            <w:pPr>
              <w:spacing w:before="60" w:after="60"/>
            </w:pPr>
            <w:r>
              <w:rPr>
                <w:sz w:val="18"/>
              </w:rPr>
              <w:t>Conductivity (µS/cm)</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866.009</w:t>
            </w:r>
          </w:p>
        </w:tc>
        <w:tc>
          <w:tcPr>
            <w:tcW w:type="dxa" w:w="850"/>
            <w:shd w:val="clear" w:color="auto" w:fill="F2F8F7"/>
          </w:tcPr>
          <w:p>
            <w:pPr>
              <w:spacing w:before="60" w:after="60"/>
            </w:pPr>
            <w:r>
              <w:rPr>
                <w:sz w:val="18"/>
              </w:rPr>
              <w:t>77.187</w:t>
            </w:r>
          </w:p>
        </w:tc>
        <w:tc>
          <w:tcPr>
            <w:tcW w:type="dxa" w:w="794"/>
            <w:shd w:val="clear" w:color="auto" w:fill="F2F8F7"/>
          </w:tcPr>
          <w:p>
            <w:pPr>
              <w:spacing w:before="60" w:after="60"/>
            </w:pPr>
            <w:r>
              <w:rPr>
                <w:sz w:val="18"/>
              </w:rPr>
              <w:t>721.525</w:t>
            </w:r>
          </w:p>
        </w:tc>
        <w:tc>
          <w:tcPr>
            <w:tcW w:type="dxa" w:w="794"/>
            <w:shd w:val="clear" w:color="auto" w:fill="F2F8F7"/>
          </w:tcPr>
          <w:p>
            <w:pPr>
              <w:spacing w:before="60" w:after="60"/>
            </w:pPr>
            <w:r>
              <w:rPr>
                <w:sz w:val="18"/>
              </w:rPr>
              <w:t>1062.051</w:t>
            </w:r>
          </w:p>
        </w:tc>
        <w:tc>
          <w:tcPr>
            <w:tcW w:type="dxa" w:w="964"/>
            <w:shd w:val="clear" w:color="auto" w:fill="F2F8F7"/>
          </w:tcPr>
          <w:p>
            <w:pPr>
              <w:spacing w:before="60" w:after="60"/>
            </w:pPr>
            <w:r>
              <w:rPr>
                <w:sz w:val="18"/>
              </w:rPr>
              <w:t>950</w:t>
            </w:r>
          </w:p>
        </w:tc>
        <w:tc>
          <w:tcPr>
            <w:tcW w:type="dxa" w:w="964"/>
            <w:shd w:val="clear" w:color="auto" w:fill="F2F8F7"/>
          </w:tcPr>
          <w:p>
            <w:pPr>
              <w:spacing w:before="60" w:after="60"/>
            </w:pPr>
            <w:r>
              <w:rPr>
                <w:sz w:val="18"/>
              </w:rPr>
              <w:t>1050</w:t>
            </w:r>
          </w:p>
        </w:tc>
        <w:tc>
          <w:tcPr>
            <w:tcW w:type="dxa" w:w="1020"/>
            <w:shd w:val="clear" w:color="auto" w:fill="F2F8F7"/>
          </w:tcPr>
          <w:p>
            <w:pPr>
              <w:spacing w:before="60" w:after="60"/>
            </w:pPr>
            <w:r>
              <w:rPr>
                <w:sz w:val="18"/>
              </w:rPr>
              <w:t>19.6%</w:t>
            </w:r>
          </w:p>
        </w:tc>
        <w:tc>
          <w:tcPr>
            <w:tcW w:type="dxa" w:w="1247"/>
            <w:shd w:val="clear" w:color="auto" w:fill="F2F8F7"/>
          </w:tcPr>
          <w:p>
            <w:pPr>
              <w:spacing w:before="60" w:after="60"/>
            </w:pPr>
            <w:r>
              <w:rPr>
                <w:sz w:val="18"/>
              </w:rPr>
              <w:t>⚠ Action Required</w:t>
            </w:r>
          </w:p>
        </w:tc>
      </w:tr>
      <w:tr>
        <w:tc>
          <w:tcPr>
            <w:tcW w:type="dxa" w:w="1814"/>
            <w:shd w:val="clear" w:color="auto" w:fill="FFFFFF"/>
          </w:tcPr>
          <w:p>
            <w:pPr>
              <w:spacing w:before="60" w:after="60"/>
            </w:pPr>
            <w:r>
              <w:rPr>
                <w:sz w:val="18"/>
              </w:rPr>
              <w:t>pH</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9.728</w:t>
            </w:r>
          </w:p>
        </w:tc>
        <w:tc>
          <w:tcPr>
            <w:tcW w:type="dxa" w:w="850"/>
            <w:shd w:val="clear" w:color="auto" w:fill="FFFFFF"/>
          </w:tcPr>
          <w:p>
            <w:pPr>
              <w:spacing w:before="60" w:after="60"/>
            </w:pPr>
            <w:r>
              <w:rPr>
                <w:sz w:val="18"/>
              </w:rPr>
              <w:t>0.099</w:t>
            </w:r>
          </w:p>
        </w:tc>
        <w:tc>
          <w:tcPr>
            <w:tcW w:type="dxa" w:w="794"/>
            <w:shd w:val="clear" w:color="auto" w:fill="FFFFFF"/>
          </w:tcPr>
          <w:p>
            <w:pPr>
              <w:spacing w:before="60" w:after="60"/>
            </w:pPr>
            <w:r>
              <w:rPr>
                <w:sz w:val="18"/>
              </w:rPr>
              <w:t>9.188</w:t>
            </w:r>
          </w:p>
        </w:tc>
        <w:tc>
          <w:tcPr>
            <w:tcW w:type="dxa" w:w="794"/>
            <w:shd w:val="clear" w:color="auto" w:fill="FFFFFF"/>
          </w:tcPr>
          <w:p>
            <w:pPr>
              <w:spacing w:before="60" w:after="60"/>
            </w:pPr>
            <w:r>
              <w:rPr>
                <w:sz w:val="18"/>
              </w:rPr>
              <w:t>9.944</w:t>
            </w:r>
          </w:p>
        </w:tc>
        <w:tc>
          <w:tcPr>
            <w:tcW w:type="dxa" w:w="964"/>
            <w:shd w:val="clear" w:color="auto" w:fill="FFFFFF"/>
          </w:tcPr>
          <w:p>
            <w:pPr>
              <w:spacing w:before="60" w:after="60"/>
            </w:pPr>
            <w:r>
              <w:rPr>
                <w:sz w:val="18"/>
              </w:rPr>
              <w:t>7.50</w:t>
            </w:r>
          </w:p>
        </w:tc>
        <w:tc>
          <w:tcPr>
            <w:tcW w:type="dxa" w:w="964"/>
            <w:shd w:val="clear" w:color="auto" w:fill="FFFFFF"/>
          </w:tcPr>
          <w:p>
            <w:pPr>
              <w:spacing w:before="60" w:after="60"/>
            </w:pPr>
            <w:r>
              <w:rPr>
                <w:sz w:val="18"/>
              </w:rPr>
              <w:t>10.00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ORP (mV)</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550.913</w:t>
            </w:r>
          </w:p>
        </w:tc>
        <w:tc>
          <w:tcPr>
            <w:tcW w:type="dxa" w:w="850"/>
            <w:shd w:val="clear" w:color="auto" w:fill="F2F8F7"/>
          </w:tcPr>
          <w:p>
            <w:pPr>
              <w:spacing w:before="60" w:after="60"/>
            </w:pPr>
            <w:r>
              <w:rPr>
                <w:sz w:val="18"/>
              </w:rPr>
              <w:t>36.295</w:t>
            </w:r>
          </w:p>
        </w:tc>
        <w:tc>
          <w:tcPr>
            <w:tcW w:type="dxa" w:w="794"/>
            <w:shd w:val="clear" w:color="auto" w:fill="F2F8F7"/>
          </w:tcPr>
          <w:p>
            <w:pPr>
              <w:spacing w:before="60" w:after="60"/>
            </w:pPr>
            <w:r>
              <w:rPr>
                <w:sz w:val="18"/>
              </w:rPr>
              <w:t>510.623</w:t>
            </w:r>
          </w:p>
        </w:tc>
        <w:tc>
          <w:tcPr>
            <w:tcW w:type="dxa" w:w="794"/>
            <w:shd w:val="clear" w:color="auto" w:fill="F2F8F7"/>
          </w:tcPr>
          <w:p>
            <w:pPr>
              <w:spacing w:before="60" w:after="60"/>
            </w:pPr>
            <w:r>
              <w:rPr>
                <w:sz w:val="18"/>
              </w:rPr>
              <w:t>826.388</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See chart</w:t>
            </w:r>
          </w:p>
        </w:tc>
      </w:tr>
      <w:tr>
        <w:tc>
          <w:tcPr>
            <w:tcW w:type="dxa" w:w="1814"/>
            <w:shd w:val="clear" w:color="auto" w:fill="FFFFFF"/>
          </w:tcPr>
          <w:p>
            <w:pPr>
              <w:spacing w:before="60" w:after="60"/>
            </w:pPr>
            <w:r>
              <w:rPr>
                <w:sz w:val="18"/>
              </w:rPr>
              <w:t>Turbidity (NTU)</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9.039</w:t>
            </w:r>
          </w:p>
        </w:tc>
        <w:tc>
          <w:tcPr>
            <w:tcW w:type="dxa" w:w="850"/>
            <w:shd w:val="clear" w:color="auto" w:fill="FFFFFF"/>
          </w:tcPr>
          <w:p>
            <w:pPr>
              <w:spacing w:before="60" w:after="60"/>
            </w:pPr>
            <w:r>
              <w:rPr>
                <w:sz w:val="18"/>
              </w:rPr>
              <w:t>1.498</w:t>
            </w:r>
          </w:p>
        </w:tc>
        <w:tc>
          <w:tcPr>
            <w:tcW w:type="dxa" w:w="794"/>
            <w:shd w:val="clear" w:color="auto" w:fill="FFFFFF"/>
          </w:tcPr>
          <w:p>
            <w:pPr>
              <w:spacing w:before="60" w:after="60"/>
            </w:pPr>
            <w:r>
              <w:rPr>
                <w:sz w:val="18"/>
              </w:rPr>
              <w:t>3.230</w:t>
            </w:r>
          </w:p>
        </w:tc>
        <w:tc>
          <w:tcPr>
            <w:tcW w:type="dxa" w:w="794"/>
            <w:shd w:val="clear" w:color="auto" w:fill="FFFFFF"/>
          </w:tcPr>
          <w:p>
            <w:pPr>
              <w:spacing w:before="60" w:after="60"/>
            </w:pPr>
            <w:r>
              <w:rPr>
                <w:sz w:val="18"/>
              </w:rPr>
              <w:t>17.186</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75.0</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Cell Fouling (%)</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7.070</w:t>
            </w:r>
          </w:p>
        </w:tc>
        <w:tc>
          <w:tcPr>
            <w:tcW w:type="dxa" w:w="850"/>
            <w:shd w:val="clear" w:color="auto" w:fill="F2F8F7"/>
          </w:tcPr>
          <w:p>
            <w:pPr>
              <w:spacing w:before="60" w:after="60"/>
            </w:pPr>
            <w:r>
              <w:rPr>
                <w:sz w:val="18"/>
              </w:rPr>
              <w:t>1.465</w:t>
            </w:r>
          </w:p>
        </w:tc>
        <w:tc>
          <w:tcPr>
            <w:tcW w:type="dxa" w:w="794"/>
            <w:shd w:val="clear" w:color="auto" w:fill="F2F8F7"/>
          </w:tcPr>
          <w:p>
            <w:pPr>
              <w:spacing w:before="60" w:after="60"/>
            </w:pPr>
            <w:r>
              <w:rPr>
                <w:sz w:val="18"/>
              </w:rPr>
              <w:t>3.051</w:t>
            </w:r>
          </w:p>
        </w:tc>
        <w:tc>
          <w:tcPr>
            <w:tcW w:type="dxa" w:w="794"/>
            <w:shd w:val="clear" w:color="auto" w:fill="F2F8F7"/>
          </w:tcPr>
          <w:p>
            <w:pPr>
              <w:spacing w:before="60" w:after="60"/>
            </w:pPr>
            <w:r>
              <w:rPr>
                <w:sz w:val="18"/>
              </w:rPr>
              <w:t>11.756</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30.0</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ℹ Info</w:t>
            </w:r>
          </w:p>
        </w:tc>
      </w:tr>
      <w:tr>
        <w:tc>
          <w:tcPr>
            <w:tcW w:type="dxa" w:w="1814"/>
            <w:shd w:val="clear" w:color="auto" w:fill="FFFFFF"/>
          </w:tcPr>
          <w:p>
            <w:pPr>
              <w:spacing w:before="60" w:after="60"/>
            </w:pPr>
            <w:r>
              <w:rPr>
                <w:sz w:val="18"/>
              </w:rPr>
              <w:t>FRC</w:t>
            </w:r>
          </w:p>
        </w:tc>
        <w:tc>
          <w:tcPr>
            <w:tcW w:type="dxa" w:w="1247"/>
            <w:shd w:val="clear" w:color="auto" w:fill="FFFFFF"/>
          </w:tcPr>
          <w:p>
            <w:pPr>
              <w:spacing w:before="60" w:after="60"/>
            </w:pPr>
            <w:r>
              <w:rPr>
                <w:sz w:val="18"/>
              </w:rPr>
              <w:t>Field Data</w:t>
            </w:r>
          </w:p>
        </w:tc>
        <w:tc>
          <w:tcPr>
            <w:tcW w:type="dxa" w:w="850"/>
            <w:shd w:val="clear" w:color="auto" w:fill="FFFFFF"/>
          </w:tcPr>
          <w:p>
            <w:pPr>
              <w:spacing w:before="60" w:after="60"/>
            </w:pPr>
            <w:r>
              <w:rPr>
                <w:sz w:val="18"/>
              </w:rPr>
              <w:t>Not avail.</w:t>
            </w:r>
          </w:p>
        </w:tc>
        <w:tc>
          <w:tcPr>
            <w:tcW w:type="dxa" w:w="850"/>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 Check</w:t>
            </w:r>
          </w:p>
        </w:tc>
      </w:tr>
    </w:tbl>
    <w:p/>
    <w:p>
      <w:r>
        <w:br w:type="page"/>
      </w:r>
    </w:p>
    <w:p>
      <w:pPr>
        <w:pBdr>
          <w:bottom w:val="single" w:sz="8" w:space="4" w:color="00857C"/>
        </w:pBdr>
        <w:spacing w:before="280" w:after="80"/>
      </w:pPr>
      <w:r>
        <w:rPr>
          <w:b/>
          <w:color w:val="00857C"/>
          <w:sz w:val="32"/>
        </w:rPr>
        <w:t>Charts and Comments</w:t>
      </w:r>
    </w:p>
    <w:p>
      <w:pPr>
        <w:spacing w:before="200" w:after="60"/>
      </w:pPr>
      <w:r>
        <w:rPr>
          <w:b/>
          <w:color w:val="005F58"/>
          <w:sz w:val="26"/>
        </w:rPr>
        <w:t>Corrosion Rate</w:t>
      </w:r>
    </w:p>
    <w:p>
      <w:pPr>
        <w:jc w:val="center"/>
      </w:pPr>
      <w:r>
        <w:drawing>
          <wp:inline xmlns:a="http://schemas.openxmlformats.org/drawingml/2006/main" xmlns:pic="http://schemas.openxmlformats.org/drawingml/2006/picture">
            <wp:extent cx="5486400" cy="2580468"/>
            <wp:docPr id="1" name="Picture 1"/>
            <wp:cNvGraphicFramePr>
              <a:graphicFrameLocks noChangeAspect="1"/>
            </wp:cNvGraphicFramePr>
            <a:graphic>
              <a:graphicData uri="http://schemas.openxmlformats.org/drawingml/2006/picture">
                <pic:pic>
                  <pic:nvPicPr>
                    <pic:cNvPr id="0" name="synthomer_chester_sc_us_may_2026_corrosion.png"/>
                    <pic:cNvPicPr/>
                  </pic:nvPicPr>
                  <pic:blipFill>
                    <a:blip r:embed="rId11"/>
                    <a:stretch>
                      <a:fillRect/>
                    </a:stretch>
                  </pic:blipFill>
                  <pic:spPr>
                    <a:xfrm>
                      <a:off x="0" y="0"/>
                      <a:ext cx="5486400" cy="2580468"/>
                    </a:xfrm>
                    <a:prstGeom prst="rect"/>
                  </pic:spPr>
                </pic:pic>
              </a:graphicData>
            </a:graphic>
          </wp:inline>
        </w:drawing>
      </w:r>
    </w:p>
    <w:p>
      <w:pPr>
        <w:spacing w:after="120"/>
        <w:jc w:val="center"/>
      </w:pPr>
      <w:r>
        <w:rPr>
          <w:i/>
          <w:color w:val="444444"/>
          <w:sz w:val="17"/>
        </w:rPr>
        <w:t>Figure 1: Corrosion Rate — May 2026</w:t>
      </w:r>
    </w:p>
    <w:p>
      <w:pPr>
        <w:spacing w:before="40" w:after="200"/>
      </w:pPr>
      <w:r>
        <w:rPr>
          <w:i/>
          <w:color w:val="333333"/>
          <w:sz w:val="19"/>
        </w:rPr>
        <w:t>Comment: Mild steel averaged 0.24 MPY and copper averaged 0.2200 MPY, both within their targets, indicating good corrosion control with no corrective action required at this time.</w:t>
      </w:r>
    </w:p>
    <w:p>
      <w:pPr>
        <w:spacing w:before="200" w:after="60"/>
      </w:pPr>
      <w:r>
        <w:rPr>
          <w:b/>
          <w:color w:val="005F58"/>
          <w:sz w:val="26"/>
        </w:rPr>
        <w:t>Traced Product Control Trend</w:t>
      </w:r>
    </w:p>
    <w:p>
      <w:pPr>
        <w:jc w:val="center"/>
      </w:pPr>
      <w:r>
        <w:drawing>
          <wp:inline xmlns:a="http://schemas.openxmlformats.org/drawingml/2006/main" xmlns:pic="http://schemas.openxmlformats.org/drawingml/2006/picture">
            <wp:extent cx="5486400" cy="2582656"/>
            <wp:docPr id="2" name="Picture 2"/>
            <wp:cNvGraphicFramePr>
              <a:graphicFrameLocks noChangeAspect="1"/>
            </wp:cNvGraphicFramePr>
            <a:graphic>
              <a:graphicData uri="http://schemas.openxmlformats.org/drawingml/2006/picture">
                <pic:pic>
                  <pic:nvPicPr>
                    <pic:cNvPr id="0" name="synthomer_chester_sc_us_may_2026_traced_product.png"/>
                    <pic:cNvPicPr/>
                  </pic:nvPicPr>
                  <pic:blipFill>
                    <a:blip r:embed="rId12"/>
                    <a:stretch>
                      <a:fillRect/>
                    </a:stretch>
                  </pic:blipFill>
                  <pic:spPr>
                    <a:xfrm>
                      <a:off x="0" y="0"/>
                      <a:ext cx="5486400" cy="2582656"/>
                    </a:xfrm>
                    <a:prstGeom prst="rect"/>
                  </pic:spPr>
                </pic:pic>
              </a:graphicData>
            </a:graphic>
          </wp:inline>
        </w:drawing>
      </w:r>
    </w:p>
    <w:p>
      <w:pPr>
        <w:spacing w:after="120"/>
        <w:jc w:val="center"/>
      </w:pPr>
      <w:r>
        <w:rPr>
          <w:i/>
          <w:color w:val="444444"/>
          <w:sz w:val="17"/>
        </w:rPr>
        <w:t>Figure 2: Traced Product — May 2026</w:t>
      </w:r>
    </w:p>
    <w:p>
      <w:pPr>
        <w:spacing w:before="40" w:after="200"/>
      </w:pPr>
      <w:r>
        <w:rPr>
          <w:i/>
          <w:color w:val="333333"/>
          <w:sz w:val="19"/>
        </w:rPr>
        <w:t>Comment: Traced Product averaged 106.8 ppm versus the 95.0-105.0 ppm Controller Setpoint range, which is 1.7% above the upper limit and indicates overdosing - recommend decreasing pump stroke and verifying fluorometer calibration; this will be reviewed during the upcoming service visit.</w:t>
      </w:r>
    </w:p>
    <w:p>
      <w:pPr>
        <w:spacing w:before="200" w:after="60"/>
      </w:pPr>
      <w:r>
        <w:rPr>
          <w:b/>
          <w:color w:val="005F58"/>
          <w:sz w:val="26"/>
        </w:rPr>
        <w:t>ORP vs Copper Corrosion Rate</w:t>
      </w:r>
    </w:p>
    <w:p>
      <w:pPr>
        <w:jc w:val="center"/>
      </w:pPr>
      <w:r>
        <w:drawing>
          <wp:inline xmlns:a="http://schemas.openxmlformats.org/drawingml/2006/main" xmlns:pic="http://schemas.openxmlformats.org/drawingml/2006/picture">
            <wp:extent cx="5486400" cy="2584849"/>
            <wp:docPr id="3" name="Picture 3"/>
            <wp:cNvGraphicFramePr>
              <a:graphicFrameLocks noChangeAspect="1"/>
            </wp:cNvGraphicFramePr>
            <a:graphic>
              <a:graphicData uri="http://schemas.openxmlformats.org/drawingml/2006/picture">
                <pic:pic>
                  <pic:nvPicPr>
                    <pic:cNvPr id="0" name="synthomer_chester_sc_us_may_2026_orp_corrosion.png"/>
                    <pic:cNvPicPr/>
                  </pic:nvPicPr>
                  <pic:blipFill>
                    <a:blip r:embed="rId13"/>
                    <a:stretch>
                      <a:fillRect/>
                    </a:stretch>
                  </pic:blipFill>
                  <pic:spPr>
                    <a:xfrm>
                      <a:off x="0" y="0"/>
                      <a:ext cx="5486400" cy="2584849"/>
                    </a:xfrm>
                    <a:prstGeom prst="rect"/>
                  </pic:spPr>
                </pic:pic>
              </a:graphicData>
            </a:graphic>
          </wp:inline>
        </w:drawing>
      </w:r>
    </w:p>
    <w:p>
      <w:pPr>
        <w:spacing w:after="120"/>
        <w:jc w:val="center"/>
      </w:pPr>
      <w:r>
        <w:rPr>
          <w:i/>
          <w:color w:val="444444"/>
          <w:sz w:val="17"/>
        </w:rPr>
        <w:t>Figure 3: ORP vs Copper Corrosion Rate — May 2026</w:t>
      </w:r>
    </w:p>
    <w:p>
      <w:pPr>
        <w:spacing w:before="40" w:after="200"/>
      </w:pPr>
      <w:r>
        <w:rPr>
          <w:i/>
          <w:color w:val="333333"/>
          <w:sz w:val="19"/>
        </w:rPr>
        <w:t>Comment: The ORP chart showed a consistent spike pattern after timer-controlled biocide dosing was triggered, indicating treatment response and good control with no corrective action required at this time.</w:t>
      </w:r>
    </w:p>
    <w:p>
      <w:pPr>
        <w:spacing w:before="200" w:after="60"/>
      </w:pPr>
      <w:r>
        <w:rPr>
          <w:b/>
          <w:color w:val="005F58"/>
          <w:sz w:val="26"/>
        </w:rPr>
        <w:t>Oxidizing Biocide Pump Relay vs Copper Corrosion</w:t>
      </w:r>
    </w:p>
    <w:p>
      <w:pPr>
        <w:jc w:val="center"/>
      </w:pPr>
      <w:r>
        <w:drawing>
          <wp:inline xmlns:a="http://schemas.openxmlformats.org/drawingml/2006/main" xmlns:pic="http://schemas.openxmlformats.org/drawingml/2006/picture">
            <wp:extent cx="5486400" cy="2580468"/>
            <wp:docPr id="4" name="Picture 4"/>
            <wp:cNvGraphicFramePr>
              <a:graphicFrameLocks noChangeAspect="1"/>
            </wp:cNvGraphicFramePr>
            <a:graphic>
              <a:graphicData uri="http://schemas.openxmlformats.org/drawingml/2006/picture">
                <pic:pic>
                  <pic:nvPicPr>
                    <pic:cNvPr id="0" name="synthomer_chester_sc_us_may_2026_biocide_corrosion.png"/>
                    <pic:cNvPicPr/>
                  </pic:nvPicPr>
                  <pic:blipFill>
                    <a:blip r:embed="rId14"/>
                    <a:stretch>
                      <a:fillRect/>
                    </a:stretch>
                  </pic:blipFill>
                  <pic:spPr>
                    <a:xfrm>
                      <a:off x="0" y="0"/>
                      <a:ext cx="5486400" cy="2580468"/>
                    </a:xfrm>
                    <a:prstGeom prst="rect"/>
                  </pic:spPr>
                </pic:pic>
              </a:graphicData>
            </a:graphic>
          </wp:inline>
        </w:drawing>
      </w:r>
    </w:p>
    <w:p>
      <w:pPr>
        <w:spacing w:after="120"/>
        <w:jc w:val="center"/>
      </w:pPr>
      <w:r>
        <w:rPr>
          <w:i/>
          <w:color w:val="444444"/>
          <w:sz w:val="17"/>
        </w:rPr>
        <w:t>Figure 4: Oxidizing Biocide Pump Relay vs Copper Corrosion — May 2026</w:t>
      </w:r>
    </w:p>
    <w:p>
      <w:pPr>
        <w:spacing w:before="200" w:after="60"/>
      </w:pPr>
      <w:r>
        <w:rPr>
          <w:b/>
          <w:color w:val="005F58"/>
          <w:sz w:val="26"/>
        </w:rPr>
        <w:t>Electrode Conductivity</w:t>
      </w:r>
    </w:p>
    <w:p>
      <w:pPr>
        <w:jc w:val="center"/>
      </w:pPr>
      <w:r>
        <w:drawing>
          <wp:inline xmlns:a="http://schemas.openxmlformats.org/drawingml/2006/main" xmlns:pic="http://schemas.openxmlformats.org/drawingml/2006/picture">
            <wp:extent cx="5486400" cy="2582656"/>
            <wp:docPr id="5" name="Picture 5"/>
            <wp:cNvGraphicFramePr>
              <a:graphicFrameLocks noChangeAspect="1"/>
            </wp:cNvGraphicFramePr>
            <a:graphic>
              <a:graphicData uri="http://schemas.openxmlformats.org/drawingml/2006/picture">
                <pic:pic>
                  <pic:nvPicPr>
                    <pic:cNvPr id="0" name="synthomer_chester_sc_us_may_2026_conductivity.png"/>
                    <pic:cNvPicPr/>
                  </pic:nvPicPr>
                  <pic:blipFill>
                    <a:blip r:embed="rId15"/>
                    <a:stretch>
                      <a:fillRect/>
                    </a:stretch>
                  </pic:blipFill>
                  <pic:spPr>
                    <a:xfrm>
                      <a:off x="0" y="0"/>
                      <a:ext cx="5486400" cy="2582656"/>
                    </a:xfrm>
                    <a:prstGeom prst="rect"/>
                  </pic:spPr>
                </pic:pic>
              </a:graphicData>
            </a:graphic>
          </wp:inline>
        </w:drawing>
      </w:r>
    </w:p>
    <w:p>
      <w:pPr>
        <w:spacing w:after="120"/>
        <w:jc w:val="center"/>
      </w:pPr>
      <w:r>
        <w:rPr>
          <w:i/>
          <w:color w:val="444444"/>
          <w:sz w:val="17"/>
        </w:rPr>
        <w:t>Figure 5: Electrode Conductivity — May 2026</w:t>
      </w:r>
    </w:p>
    <w:p>
      <w:pPr>
        <w:spacing w:before="40" w:after="200"/>
      </w:pPr>
      <w:r>
        <w:rPr>
          <w:i/>
          <w:color w:val="333333"/>
          <w:sz w:val="19"/>
        </w:rPr>
        <w:t>Comment: Conductivity averaged 910.5 µS/cm versus the 950-1050 µS/cm Controller Setpoint range, which is 4.2% below the lower limit on the 90-day average while recent readings showed 100.0% in-range good control; continue monitoring blowdown settings and makeup water conditions.</w:t>
      </w:r>
    </w:p>
    <w:p>
      <w:r>
        <w:br w:type="page"/>
      </w:r>
    </w:p>
    <w:p>
      <w:pPr>
        <w:pBdr>
          <w:bottom w:val="single" w:sz="8" w:space="4" w:color="00857C"/>
        </w:pBdr>
        <w:spacing w:before="280" w:after="80"/>
      </w:pPr>
      <w:r>
        <w:rPr>
          <w:b/>
          <w:color w:val="00857C"/>
          <w:sz w:val="32"/>
        </w:rPr>
        <w:t>Closing Summary</w:t>
      </w:r>
    </w:p>
    <w:p>
      <w:pPr>
        <w:spacing w:before="80" w:after="120"/>
        <w:jc w:val="left"/>
      </w:pPr>
      <w:r>
        <w:rPr>
          <w:b w:val="0"/>
          <w:i w:val="0"/>
          <w:sz w:val="20"/>
        </w:rPr>
        <w:t>Overall, the system maintained good corrosion control, stable microbial response, and good water efficiency during May 2026. The primary follow-up item is Traced Product overfeeding, which points to product feed or fluorometer calibration review during the upcoming service visit. Addressing the dosing setup should help return product concentration to the Controller Setpoint range while maintaining the current corrosion, microbial, and water efficiency performance.</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44444"/>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444444"/>
        <w:sz w:val="16"/>
      </w:rPr>
      <w:t>Buckman  |  Synthomer Chester SC (US)  |  May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