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2F4" w:rsidRDefault="002B42F4" w:rsidP="002B42F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2B42F4" w:rsidRDefault="002B42F4" w:rsidP="002B42F4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2B42F4" w:rsidRPr="002B42F4" w:rsidRDefault="002B42F4" w:rsidP="002B42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</w:rPr>
        <w:t xml:space="preserve">The </w:t>
      </w:r>
      <w:r w:rsidRPr="002B42F4">
        <w:rPr>
          <w:rFonts w:eastAsia="Times New Roman" w:cstheme="minorHAnsi"/>
          <w:b/>
          <w:bCs/>
        </w:rPr>
        <w:t>European Bank — Customer Segmentation &amp; Churn Pattern Analytics Project</w:t>
      </w:r>
      <w:r w:rsidRPr="002B42F4">
        <w:rPr>
          <w:rFonts w:eastAsia="Times New Roman" w:cstheme="minorHAnsi"/>
        </w:rPr>
        <w:t xml:space="preserve"> was initiated to understand the behavioral and financial characteristics driving customer attrition across Europe.</w:t>
      </w:r>
      <w:r w:rsidRPr="002B42F4">
        <w:rPr>
          <w:rFonts w:eastAsia="Times New Roman" w:cstheme="minorHAnsi"/>
        </w:rPr>
        <w:br/>
        <w:t>Customer churn in banking poses a serious challenge to financial stability and consumer trust, especially as the industry transitions to more digital, competitive, and personalized financial ecosystems.</w:t>
      </w:r>
    </w:p>
    <w:p w:rsidR="002B42F4" w:rsidRPr="002B42F4" w:rsidRDefault="002B42F4" w:rsidP="002B42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</w:rPr>
        <w:t xml:space="preserve">This study analyzed over </w:t>
      </w:r>
      <w:r w:rsidRPr="002B42F4">
        <w:rPr>
          <w:rFonts w:eastAsia="Times New Roman" w:cstheme="minorHAnsi"/>
          <w:b/>
          <w:bCs/>
        </w:rPr>
        <w:t>10,000 customer records</w:t>
      </w:r>
      <w:r w:rsidRPr="002B42F4">
        <w:rPr>
          <w:rFonts w:eastAsia="Times New Roman" w:cstheme="minorHAnsi"/>
        </w:rPr>
        <w:t xml:space="preserve"> from European regions, focusing on demographics, geography, creditworthiness, and account behavior. The analysis aimed to identify </w:t>
      </w:r>
      <w:r w:rsidRPr="002B42F4">
        <w:rPr>
          <w:rFonts w:eastAsia="Times New Roman" w:cstheme="minorHAnsi"/>
          <w:b/>
          <w:bCs/>
        </w:rPr>
        <w:t>high-risk segments</w:t>
      </w:r>
      <w:r w:rsidRPr="002B42F4">
        <w:rPr>
          <w:rFonts w:eastAsia="Times New Roman" w:cstheme="minorHAnsi"/>
        </w:rPr>
        <w:t xml:space="preserve">, compare churn patterns across </w:t>
      </w:r>
      <w:r w:rsidRPr="002B42F4">
        <w:rPr>
          <w:rFonts w:eastAsia="Times New Roman" w:cstheme="minorHAnsi"/>
          <w:b/>
          <w:bCs/>
        </w:rPr>
        <w:t>France, Spain, and Germany</w:t>
      </w:r>
      <w:r w:rsidRPr="002B42F4">
        <w:rPr>
          <w:rFonts w:eastAsia="Times New Roman" w:cstheme="minorHAnsi"/>
        </w:rPr>
        <w:t>, and derive actionable recommendations to enhance retention and inclusion.</w:t>
      </w:r>
    </w:p>
    <w:p w:rsidR="002B42F4" w:rsidRPr="002B42F4" w:rsidRDefault="002B42F4" w:rsidP="002B4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B42F4">
        <w:rPr>
          <w:rFonts w:eastAsia="Times New Roman" w:cstheme="minorHAnsi"/>
          <w:b/>
          <w:bCs/>
        </w:rPr>
        <w:t>Key Insights</w:t>
      </w:r>
    </w:p>
    <w:p w:rsidR="002B42F4" w:rsidRPr="002B42F4" w:rsidRDefault="002B42F4" w:rsidP="002B4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</w:rPr>
        <w:t xml:space="preserve">The </w:t>
      </w:r>
      <w:r w:rsidRPr="002B42F4">
        <w:rPr>
          <w:rFonts w:eastAsia="Times New Roman" w:cstheme="minorHAnsi"/>
          <w:b/>
          <w:bCs/>
        </w:rPr>
        <w:t>overall churn rate</w:t>
      </w:r>
      <w:r w:rsidRPr="002B42F4">
        <w:rPr>
          <w:rFonts w:eastAsia="Times New Roman" w:cstheme="minorHAnsi"/>
        </w:rPr>
        <w:t xml:space="preserve"> stands at approximately </w:t>
      </w:r>
      <w:r w:rsidRPr="002B42F4">
        <w:rPr>
          <w:rFonts w:eastAsia="Times New Roman" w:cstheme="minorHAnsi"/>
          <w:b/>
          <w:bCs/>
        </w:rPr>
        <w:t>20%</w:t>
      </w:r>
      <w:r w:rsidRPr="002B42F4">
        <w:rPr>
          <w:rFonts w:eastAsia="Times New Roman" w:cstheme="minorHAnsi"/>
        </w:rPr>
        <w:t xml:space="preserve">, with </w:t>
      </w:r>
      <w:r w:rsidRPr="002B42F4">
        <w:rPr>
          <w:rFonts w:eastAsia="Times New Roman" w:cstheme="minorHAnsi"/>
          <w:b/>
          <w:bCs/>
        </w:rPr>
        <w:t>Germany</w:t>
      </w:r>
      <w:r w:rsidRPr="002B42F4">
        <w:rPr>
          <w:rFonts w:eastAsia="Times New Roman" w:cstheme="minorHAnsi"/>
        </w:rPr>
        <w:t xml:space="preserve"> exhibiting the </w:t>
      </w:r>
      <w:r w:rsidRPr="002B42F4">
        <w:rPr>
          <w:rFonts w:eastAsia="Times New Roman" w:cstheme="minorHAnsi"/>
          <w:b/>
          <w:bCs/>
        </w:rPr>
        <w:t>highest attrition levels</w:t>
      </w:r>
      <w:r w:rsidRPr="002B42F4">
        <w:rPr>
          <w:rFonts w:eastAsia="Times New Roman" w:cstheme="minorHAnsi"/>
        </w:rPr>
        <w:t>.</w:t>
      </w:r>
    </w:p>
    <w:p w:rsidR="002B42F4" w:rsidRPr="002B42F4" w:rsidRDefault="002B42F4" w:rsidP="002B4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Inactive customers</w:t>
      </w:r>
      <w:r w:rsidRPr="002B42F4">
        <w:rPr>
          <w:rFonts w:eastAsia="Times New Roman" w:cstheme="minorHAnsi"/>
        </w:rPr>
        <w:t xml:space="preserve"> are </w:t>
      </w:r>
      <w:r w:rsidRPr="002B42F4">
        <w:rPr>
          <w:rFonts w:eastAsia="Times New Roman" w:cstheme="minorHAnsi"/>
          <w:b/>
          <w:bCs/>
        </w:rPr>
        <w:t>1.8 times more likely</w:t>
      </w:r>
      <w:r w:rsidRPr="002B42F4">
        <w:rPr>
          <w:rFonts w:eastAsia="Times New Roman" w:cstheme="minorHAnsi"/>
        </w:rPr>
        <w:t xml:space="preserve"> to leave the bank compared to active users.</w:t>
      </w:r>
    </w:p>
    <w:p w:rsidR="002B42F4" w:rsidRPr="002B42F4" w:rsidRDefault="002B42F4" w:rsidP="002B4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Customers aged 30–45</w:t>
      </w:r>
      <w:r w:rsidRPr="002B42F4">
        <w:rPr>
          <w:rFonts w:eastAsia="Times New Roman" w:cstheme="minorHAnsi"/>
        </w:rPr>
        <w:t xml:space="preserve"> and those with </w:t>
      </w:r>
      <w:r w:rsidRPr="002B42F4">
        <w:rPr>
          <w:rFonts w:eastAsia="Times New Roman" w:cstheme="minorHAnsi"/>
          <w:b/>
          <w:bCs/>
        </w:rPr>
        <w:t>medium tenure</w:t>
      </w:r>
      <w:r w:rsidRPr="002B42F4">
        <w:rPr>
          <w:rFonts w:eastAsia="Times New Roman" w:cstheme="minorHAnsi"/>
        </w:rPr>
        <w:t xml:space="preserve"> show the highest churn probability.</w:t>
      </w:r>
    </w:p>
    <w:p w:rsidR="002B42F4" w:rsidRPr="002B42F4" w:rsidRDefault="002B42F4" w:rsidP="002B4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Credit score and balance</w:t>
      </w:r>
      <w:r w:rsidRPr="002B42F4">
        <w:rPr>
          <w:rFonts w:eastAsia="Times New Roman" w:cstheme="minorHAnsi"/>
        </w:rPr>
        <w:t xml:space="preserve"> significantly correlate with churn behavior—lower financial stability aligns with higher exit rates.</w:t>
      </w:r>
    </w:p>
    <w:p w:rsidR="002B42F4" w:rsidRPr="002B42F4" w:rsidRDefault="002B42F4" w:rsidP="002B4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B42F4">
        <w:rPr>
          <w:rFonts w:eastAsia="Times New Roman" w:cstheme="minorHAnsi"/>
          <w:b/>
          <w:bCs/>
        </w:rPr>
        <w:t>Strategic Implications</w:t>
      </w:r>
    </w:p>
    <w:p w:rsidR="002B42F4" w:rsidRPr="002B42F4" w:rsidRDefault="002B42F4" w:rsidP="002B42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</w:rPr>
        <w:t xml:space="preserve">These findings underscore the need for </w:t>
      </w:r>
      <w:r w:rsidRPr="002B42F4">
        <w:rPr>
          <w:rFonts w:eastAsia="Times New Roman" w:cstheme="minorHAnsi"/>
          <w:b/>
          <w:bCs/>
        </w:rPr>
        <w:t>data-driven policies</w:t>
      </w:r>
      <w:r w:rsidRPr="002B42F4">
        <w:rPr>
          <w:rFonts w:eastAsia="Times New Roman" w:cstheme="minorHAnsi"/>
        </w:rPr>
        <w:t xml:space="preserve"> that strengthen customer retention and engagement within the banking sector.</w:t>
      </w:r>
      <w:r w:rsidRPr="002B42F4">
        <w:rPr>
          <w:rFonts w:eastAsia="Times New Roman" w:cstheme="minorHAnsi"/>
        </w:rPr>
        <w:br/>
        <w:t>Governments and regulatory bodies can leverage these insights to:</w:t>
      </w:r>
    </w:p>
    <w:p w:rsidR="002B42F4" w:rsidRPr="002B42F4" w:rsidRDefault="002B42F4" w:rsidP="002B4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Promote customer retention frameworks</w:t>
      </w:r>
      <w:r w:rsidRPr="002B42F4">
        <w:rPr>
          <w:rFonts w:eastAsia="Times New Roman" w:cstheme="minorHAnsi"/>
        </w:rPr>
        <w:t xml:space="preserve"> encouraging banks to track engagement and proactively address dissatisfaction.</w:t>
      </w:r>
    </w:p>
    <w:p w:rsidR="002B42F4" w:rsidRPr="002B42F4" w:rsidRDefault="002B42F4" w:rsidP="002B4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Support financial literacy programs</w:t>
      </w:r>
      <w:r w:rsidRPr="002B42F4">
        <w:rPr>
          <w:rFonts w:eastAsia="Times New Roman" w:cstheme="minorHAnsi"/>
        </w:rPr>
        <w:t>, particularly targeting mid-aged working professionals and low-credit-score customers.</w:t>
      </w:r>
    </w:p>
    <w:p w:rsidR="002B42F4" w:rsidRPr="002B42F4" w:rsidRDefault="002B42F4" w:rsidP="002B4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Encourage digital engagement incentives</w:t>
      </w:r>
      <w:r w:rsidRPr="002B42F4">
        <w:rPr>
          <w:rFonts w:eastAsia="Times New Roman" w:cstheme="minorHAnsi"/>
        </w:rPr>
        <w:t xml:space="preserve">, bridging the gap between traditional and online </w:t>
      </w:r>
      <w:bookmarkStart w:id="0" w:name="_GoBack"/>
      <w:bookmarkEnd w:id="0"/>
      <w:r w:rsidRPr="002B42F4">
        <w:rPr>
          <w:rFonts w:eastAsia="Times New Roman" w:cstheme="minorHAnsi"/>
        </w:rPr>
        <w:t>banking to enhance service accessibility.</w:t>
      </w:r>
    </w:p>
    <w:p w:rsidR="002B42F4" w:rsidRPr="002B42F4" w:rsidRDefault="002B42F4" w:rsidP="002B4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  <w:b/>
          <w:bCs/>
        </w:rPr>
        <w:t>Monitor regional banking performance</w:t>
      </w:r>
      <w:r w:rsidRPr="002B42F4">
        <w:rPr>
          <w:rFonts w:eastAsia="Times New Roman" w:cstheme="minorHAnsi"/>
        </w:rPr>
        <w:t>, identifying high-risk zones where customer dissatisfaction may indicate systemic service gaps.</w:t>
      </w:r>
    </w:p>
    <w:p w:rsidR="002B42F4" w:rsidRPr="002B42F4" w:rsidRDefault="002B42F4" w:rsidP="002B4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B42F4">
        <w:rPr>
          <w:rFonts w:eastAsia="Times New Roman" w:cstheme="minorHAnsi"/>
          <w:b/>
          <w:bCs/>
        </w:rPr>
        <w:t>Conclusion</w:t>
      </w:r>
    </w:p>
    <w:p w:rsidR="002B42F4" w:rsidRPr="002B42F4" w:rsidRDefault="002B42F4" w:rsidP="002B42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B42F4">
        <w:rPr>
          <w:rFonts w:eastAsia="Times New Roman" w:cstheme="minorHAnsi"/>
        </w:rPr>
        <w:t xml:space="preserve">This research provides a foundation for </w:t>
      </w:r>
      <w:r w:rsidRPr="002B42F4">
        <w:rPr>
          <w:rFonts w:eastAsia="Times New Roman" w:cstheme="minorHAnsi"/>
          <w:b/>
          <w:bCs/>
        </w:rPr>
        <w:t>evidence-based financial regulation and policy formulation</w:t>
      </w:r>
      <w:r w:rsidRPr="002B42F4">
        <w:rPr>
          <w:rFonts w:eastAsia="Times New Roman" w:cstheme="minorHAnsi"/>
        </w:rPr>
        <w:t xml:space="preserve"> in European banking.</w:t>
      </w:r>
      <w:r w:rsidRPr="002B42F4">
        <w:rPr>
          <w:rFonts w:eastAsia="Times New Roman" w:cstheme="minorHAnsi"/>
        </w:rPr>
        <w:br/>
        <w:t xml:space="preserve">By understanding churn dynamics, governments can foster </w:t>
      </w:r>
      <w:r w:rsidRPr="002B42F4">
        <w:rPr>
          <w:rFonts w:eastAsia="Times New Roman" w:cstheme="minorHAnsi"/>
          <w:b/>
          <w:bCs/>
        </w:rPr>
        <w:t>a more resilient, customer-centric banking ecosystem</w:t>
      </w:r>
      <w:r w:rsidRPr="002B42F4">
        <w:rPr>
          <w:rFonts w:eastAsia="Times New Roman" w:cstheme="minorHAnsi"/>
        </w:rPr>
        <w:t xml:space="preserve">, ensuring both </w:t>
      </w:r>
      <w:r w:rsidRPr="002B42F4">
        <w:rPr>
          <w:rFonts w:eastAsia="Times New Roman" w:cstheme="minorHAnsi"/>
          <w:b/>
          <w:bCs/>
        </w:rPr>
        <w:t>economic stability</w:t>
      </w:r>
      <w:r w:rsidRPr="002B42F4">
        <w:rPr>
          <w:rFonts w:eastAsia="Times New Roman" w:cstheme="minorHAnsi"/>
        </w:rPr>
        <w:t xml:space="preserve"> and </w:t>
      </w:r>
      <w:r w:rsidRPr="002B42F4">
        <w:rPr>
          <w:rFonts w:eastAsia="Times New Roman" w:cstheme="minorHAnsi"/>
          <w:b/>
          <w:bCs/>
        </w:rPr>
        <w:t>citizen trust</w:t>
      </w:r>
      <w:r w:rsidRPr="002B42F4">
        <w:rPr>
          <w:rFonts w:eastAsia="Times New Roman" w:cstheme="minorHAnsi"/>
        </w:rPr>
        <w:t xml:space="preserve"> in financial institutions.</w:t>
      </w:r>
    </w:p>
    <w:p w:rsidR="00595519" w:rsidRPr="002B42F4" w:rsidRDefault="00595519">
      <w:pPr>
        <w:rPr>
          <w:rFonts w:cstheme="minorHAnsi"/>
        </w:rPr>
      </w:pPr>
    </w:p>
    <w:sectPr w:rsidR="00595519" w:rsidRPr="002B4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850B4"/>
    <w:multiLevelType w:val="multilevel"/>
    <w:tmpl w:val="AE3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344924"/>
    <w:multiLevelType w:val="multilevel"/>
    <w:tmpl w:val="377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2F4"/>
    <w:rsid w:val="00240F5E"/>
    <w:rsid w:val="002B42F4"/>
    <w:rsid w:val="004120F6"/>
    <w:rsid w:val="0059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4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2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2F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4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2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7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</dc:creator>
  <cp:lastModifiedBy>HP1</cp:lastModifiedBy>
  <cp:revision>2</cp:revision>
  <dcterms:created xsi:type="dcterms:W3CDTF">2026-03-01T16:37:00Z</dcterms:created>
  <dcterms:modified xsi:type="dcterms:W3CDTF">2026-03-01T16:37:00Z</dcterms:modified>
</cp:coreProperties>
</file>