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21" w:type="pct"/>
        <w:jc w:val="center"/>
        <w:tblLayout w:type="fixed"/>
        <w:tblCellMar>
          <w:left w:w="0" w:type="dxa"/>
          <w:right w:w="0" w:type="dxa"/>
        </w:tblCellMar>
        <w:tblLook w:val="0600" w:firstRow="0" w:lastRow="0" w:firstColumn="0" w:lastColumn="0" w:noHBand="1" w:noVBand="1"/>
        <w:tblDescription w:val="Header layout table"/>
      </w:tblPr>
      <w:tblGrid>
        <w:gridCol w:w="10845"/>
      </w:tblGrid>
      <w:tr w:rsidR="00A66B18" w:rsidRPr="0041428F" w14:paraId="694D54A5" w14:textId="77777777" w:rsidTr="000E371F">
        <w:trPr>
          <w:trHeight w:val="266"/>
          <w:jc w:val="center"/>
        </w:trPr>
        <w:tc>
          <w:tcPr>
            <w:tcW w:w="10845" w:type="dxa"/>
          </w:tcPr>
          <w:p w14:paraId="084F67CA" w14:textId="4755D60D" w:rsidR="00A66B18" w:rsidRPr="0041428F" w:rsidRDefault="00B07391" w:rsidP="00A66B18">
            <w:pPr>
              <w:pStyle w:val="ContactInfo"/>
              <w:rPr>
                <w:color w:val="000000" w:themeColor="text1"/>
              </w:rPr>
            </w:pPr>
            <w:r>
              <w:rPr>
                <w:noProof/>
              </w:rPr>
              <w:drawing>
                <wp:inline distT="0" distB="0" distL="0" distR="0" wp14:anchorId="72381076" wp14:editId="3B1C923C">
                  <wp:extent cx="1509713" cy="1461013"/>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92364" cy="1637772"/>
                          </a:xfrm>
                          <a:prstGeom prst="rect">
                            <a:avLst/>
                          </a:prstGeom>
                        </pic:spPr>
                      </pic:pic>
                    </a:graphicData>
                  </a:graphic>
                </wp:inline>
              </w:drawing>
            </w:r>
          </w:p>
        </w:tc>
      </w:tr>
      <w:tr w:rsidR="00615018" w:rsidRPr="0041428F" w14:paraId="6F13F596" w14:textId="77777777" w:rsidTr="000E371F">
        <w:trPr>
          <w:trHeight w:val="2658"/>
          <w:jc w:val="center"/>
        </w:trPr>
        <w:tc>
          <w:tcPr>
            <w:tcW w:w="10845" w:type="dxa"/>
            <w:vAlign w:val="bottom"/>
          </w:tcPr>
          <w:p w14:paraId="01C7F523" w14:textId="00284000" w:rsidR="003E24DF" w:rsidRPr="0041428F" w:rsidRDefault="003E24DF" w:rsidP="00B07391">
            <w:pPr>
              <w:pStyle w:val="ContactInfo"/>
              <w:ind w:left="0"/>
              <w:rPr>
                <w:color w:val="000000" w:themeColor="text1"/>
              </w:rPr>
            </w:pPr>
          </w:p>
        </w:tc>
      </w:tr>
    </w:tbl>
    <w:p w14:paraId="11F289F0" w14:textId="6CDEEF91" w:rsidR="00A66B18" w:rsidRDefault="00B07391" w:rsidP="00B07391">
      <w:pPr>
        <w:pStyle w:val="Title"/>
      </w:pPr>
      <w:r>
        <w:t>DataMart Client Server Setup Guide</w:t>
      </w:r>
    </w:p>
    <w:p w14:paraId="3F9990BA" w14:textId="7F902847" w:rsidR="00B07391" w:rsidRDefault="00B07391" w:rsidP="00A6783B">
      <w:pPr>
        <w:pStyle w:val="Signature"/>
        <w:rPr>
          <w:color w:val="000000" w:themeColor="text1"/>
        </w:rPr>
      </w:pPr>
      <w:r>
        <w:rPr>
          <w:color w:val="000000" w:themeColor="text1"/>
        </w:rPr>
        <w:t>Version 0.1</w:t>
      </w:r>
    </w:p>
    <w:p w14:paraId="58661BE2" w14:textId="6048A31D" w:rsidR="00B07391" w:rsidRDefault="00B07391" w:rsidP="00A6783B">
      <w:pPr>
        <w:pStyle w:val="Signature"/>
        <w:rPr>
          <w:color w:val="000000" w:themeColor="text1"/>
        </w:rPr>
      </w:pPr>
    </w:p>
    <w:p w14:paraId="5DA66C98" w14:textId="54A0F3FC" w:rsidR="00B07391" w:rsidRDefault="00B07391" w:rsidP="00A6783B">
      <w:pPr>
        <w:pStyle w:val="Signature"/>
        <w:rPr>
          <w:color w:val="000000" w:themeColor="text1"/>
        </w:rPr>
      </w:pPr>
    </w:p>
    <w:p w14:paraId="3DBCF28C" w14:textId="768423CF" w:rsidR="00B07391" w:rsidRDefault="00B07391" w:rsidP="00B07391">
      <w:pPr>
        <w:pStyle w:val="Heading1"/>
      </w:pPr>
      <w:r>
        <w:t>Audience</w:t>
      </w:r>
    </w:p>
    <w:p w14:paraId="37CFA850" w14:textId="77777777" w:rsidR="00B07391" w:rsidRDefault="00B07391" w:rsidP="00B07391">
      <w:r>
        <w:t>This guide is intended for a user who is familiar with the setup of Microsoft Internet Information Services (IIS), and Microsoft SQL Server. The configuration of the DataMart Client Server (DMCS) will be the responsibility of the end user administrator. The administrator will be responsible for the configuration of the DMCS instance within their own network. Maintenance and availability will be the providence of the end user administrator.</w:t>
      </w:r>
    </w:p>
    <w:p w14:paraId="7675B49D" w14:textId="568BF0FC" w:rsidR="000E371F" w:rsidRDefault="00B07391" w:rsidP="00B07391">
      <w:r>
        <w:t>This guide is intended to provide guidance for the configuration of the DMCS instance.</w:t>
      </w:r>
    </w:p>
    <w:p w14:paraId="51A8C751" w14:textId="77777777" w:rsidR="000E371F" w:rsidRDefault="000E371F">
      <w:pPr>
        <w:spacing w:before="0" w:after="0"/>
        <w:ind w:left="0" w:right="0"/>
      </w:pPr>
      <w:r>
        <w:br w:type="page"/>
      </w:r>
    </w:p>
    <w:p w14:paraId="56B7718C" w14:textId="14E091E9" w:rsidR="00B07391" w:rsidRDefault="000E371F" w:rsidP="00B01FDF">
      <w:pPr>
        <w:pStyle w:val="Heading1"/>
      </w:pPr>
      <w:r>
        <w:lastRenderedPageBreak/>
        <w:t>Minimum System Requirements</w:t>
      </w:r>
    </w:p>
    <w:p w14:paraId="64D63E8C" w14:textId="618C5C41" w:rsidR="000E371F" w:rsidRDefault="000E371F" w:rsidP="000E371F">
      <w:pPr>
        <w:pStyle w:val="ListParagraph"/>
        <w:numPr>
          <w:ilvl w:val="0"/>
          <w:numId w:val="1"/>
        </w:numPr>
      </w:pPr>
      <w:r>
        <w:t>Microsoft Windows 8.1 or Microsoft Windows Server 2012 R2</w:t>
      </w:r>
    </w:p>
    <w:p w14:paraId="60BC0938" w14:textId="41D85518" w:rsidR="000E371F" w:rsidRDefault="000E371F" w:rsidP="000E371F">
      <w:pPr>
        <w:pStyle w:val="ListParagraph"/>
        <w:numPr>
          <w:ilvl w:val="0"/>
          <w:numId w:val="1"/>
        </w:numPr>
      </w:pPr>
      <w:r>
        <w:t>Microsoft SQL Server 2014</w:t>
      </w:r>
    </w:p>
    <w:p w14:paraId="23454ADE" w14:textId="4C43ED36" w:rsidR="000E371F" w:rsidRDefault="000E371F" w:rsidP="000E371F">
      <w:pPr>
        <w:pStyle w:val="ListParagraph"/>
        <w:numPr>
          <w:ilvl w:val="0"/>
          <w:numId w:val="1"/>
        </w:numPr>
      </w:pPr>
      <w:r>
        <w:t>ASP.NET Core 3.1 Runtime Hosting Bundle</w:t>
      </w:r>
    </w:p>
    <w:p w14:paraId="64EFFE04" w14:textId="5BD574A1" w:rsidR="000E371F" w:rsidRDefault="001105CF" w:rsidP="000E371F">
      <w:pPr>
        <w:pStyle w:val="ListParagraph"/>
        <w:numPr>
          <w:ilvl w:val="1"/>
          <w:numId w:val="1"/>
        </w:numPr>
      </w:pPr>
      <w:hyperlink r:id="rId12" w:history="1">
        <w:r w:rsidR="00D525B5" w:rsidRPr="00D525B5">
          <w:rPr>
            <w:rStyle w:val="Hyperlink"/>
          </w:rPr>
          <w:t>https://dotnet.microsoft.com/download/dotnet/3.1</w:t>
        </w:r>
      </w:hyperlink>
    </w:p>
    <w:p w14:paraId="1BA3C119" w14:textId="157B2EC4" w:rsidR="00D525B5" w:rsidRDefault="00D525B5" w:rsidP="00D525B5">
      <w:pPr>
        <w:pStyle w:val="ListParagraph"/>
        <w:numPr>
          <w:ilvl w:val="0"/>
          <w:numId w:val="1"/>
        </w:numPr>
      </w:pPr>
      <w:r>
        <w:t>Internet Information Services (IIS)</w:t>
      </w:r>
    </w:p>
    <w:p w14:paraId="31BDE108" w14:textId="41C078CF" w:rsidR="00B01FDF" w:rsidRDefault="00B01FDF" w:rsidP="00B01FDF">
      <w:pPr>
        <w:pStyle w:val="Heading1"/>
      </w:pPr>
      <w:r>
        <w:t>Configuration</w:t>
      </w:r>
    </w:p>
    <w:p w14:paraId="2351BBE2" w14:textId="13F4F7F1" w:rsidR="00D525B5" w:rsidRDefault="00D525B5" w:rsidP="00B01FDF">
      <w:pPr>
        <w:pStyle w:val="Heading2"/>
      </w:pPr>
      <w:r>
        <w:t>File/Directory Setup</w:t>
      </w:r>
    </w:p>
    <w:p w14:paraId="541D6626" w14:textId="4E766B0D" w:rsidR="00D525B5" w:rsidRDefault="00D525B5" w:rsidP="00D525B5">
      <w:pPr>
        <w:pStyle w:val="ListParagraph"/>
        <w:numPr>
          <w:ilvl w:val="0"/>
          <w:numId w:val="1"/>
        </w:numPr>
      </w:pPr>
      <w:r>
        <w:t>Inside of the deployment package the root folder for the website is “DMCS”. This folder should be placed in the desired IIS website root folder.</w:t>
      </w:r>
    </w:p>
    <w:p w14:paraId="2FF5A1D3" w14:textId="4FA57C1C" w:rsidR="00D525B5" w:rsidRDefault="00D525B5" w:rsidP="00D525B5">
      <w:pPr>
        <w:pStyle w:val="ListParagraph"/>
        <w:numPr>
          <w:ilvl w:val="0"/>
          <w:numId w:val="1"/>
        </w:numPr>
      </w:pPr>
      <w:r>
        <w:t xml:space="preserve">If upgrading the DMCS application, </w:t>
      </w:r>
      <w:proofErr w:type="gramStart"/>
      <w:r>
        <w:t>all of</w:t>
      </w:r>
      <w:proofErr w:type="gramEnd"/>
      <w:r>
        <w:t xml:space="preserve"> the contents of the existing DMCS except the </w:t>
      </w:r>
      <w:proofErr w:type="spellStart"/>
      <w:r>
        <w:t>appsettings.json</w:t>
      </w:r>
      <w:proofErr w:type="spellEnd"/>
      <w:r>
        <w:t xml:space="preserve"> file should be deleted before being replaced by the new application files. </w:t>
      </w:r>
      <w:proofErr w:type="gramStart"/>
      <w:r>
        <w:t>I.E.</w:t>
      </w:r>
      <w:proofErr w:type="gramEnd"/>
      <w:r>
        <w:t xml:space="preserve"> do not just extract the new application package over the old one – replace the files.</w:t>
      </w:r>
    </w:p>
    <w:p w14:paraId="1A972726" w14:textId="69868359" w:rsidR="00D525B5" w:rsidRDefault="00D525B5" w:rsidP="00D525B5">
      <w:pPr>
        <w:pStyle w:val="ListParagraph"/>
        <w:numPr>
          <w:ilvl w:val="0"/>
          <w:numId w:val="1"/>
        </w:numPr>
      </w:pPr>
      <w:r>
        <w:t>A folder should be chosen to act as the cache for files uploaded and downloaded by the application. Local or internal network locations are valid.</w:t>
      </w:r>
    </w:p>
    <w:p w14:paraId="6215002D" w14:textId="0E9600F6" w:rsidR="00D525B5" w:rsidRDefault="00D525B5" w:rsidP="00B01FDF">
      <w:pPr>
        <w:pStyle w:val="Heading2"/>
      </w:pPr>
      <w:r>
        <w:t>Database Setup</w:t>
      </w:r>
    </w:p>
    <w:p w14:paraId="2BAFA7EC" w14:textId="15CE7DF5" w:rsidR="00D525B5" w:rsidRDefault="00D525B5" w:rsidP="00D525B5">
      <w:pPr>
        <w:pStyle w:val="ListParagraph"/>
        <w:numPr>
          <w:ilvl w:val="0"/>
          <w:numId w:val="1"/>
        </w:numPr>
      </w:pPr>
      <w:r>
        <w:t>Installation and configuration of the database server is the responsibility of the administrator configuration the application.</w:t>
      </w:r>
    </w:p>
    <w:p w14:paraId="2DC2DA4D" w14:textId="3A23AB94" w:rsidR="00D525B5" w:rsidRDefault="00D525B5" w:rsidP="00D525B5">
      <w:pPr>
        <w:pStyle w:val="ListParagraph"/>
        <w:numPr>
          <w:ilvl w:val="0"/>
          <w:numId w:val="1"/>
        </w:numPr>
      </w:pPr>
      <w:r>
        <w:t>An empty database should be created – naming of the database does not have a required format.</w:t>
      </w:r>
    </w:p>
    <w:p w14:paraId="057A2BDB" w14:textId="633170D4" w:rsidR="00D525B5" w:rsidRDefault="00D525B5" w:rsidP="00D525B5">
      <w:pPr>
        <w:pStyle w:val="ListParagraph"/>
        <w:numPr>
          <w:ilvl w:val="0"/>
          <w:numId w:val="1"/>
        </w:numPr>
      </w:pPr>
      <w:r>
        <w:t xml:space="preserve">The method of accessing the database is up to the discretion of the </w:t>
      </w:r>
      <w:proofErr w:type="spellStart"/>
      <w:r>
        <w:t>administror</w:t>
      </w:r>
      <w:proofErr w:type="spellEnd"/>
      <w:r>
        <w:t xml:space="preserve"> so long as it can be expressing in a common connection string format.</w:t>
      </w:r>
    </w:p>
    <w:p w14:paraId="7AC26900" w14:textId="119661F5" w:rsidR="00D525B5" w:rsidRDefault="00D525B5" w:rsidP="00D525B5">
      <w:pPr>
        <w:pStyle w:val="ListParagraph"/>
        <w:numPr>
          <w:ilvl w:val="0"/>
          <w:numId w:val="1"/>
        </w:numPr>
      </w:pPr>
      <w:r>
        <w:t>Note: the identity used by the application to access the database must have enough permission to allow it to read, write, update, delete, and modify</w:t>
      </w:r>
      <w:r w:rsidR="00B01FDF">
        <w:t xml:space="preserve"> tables and columns.</w:t>
      </w:r>
    </w:p>
    <w:p w14:paraId="5138AB27" w14:textId="3AFA72CD" w:rsidR="00B01FDF" w:rsidRDefault="00B01FDF" w:rsidP="00B01FDF">
      <w:pPr>
        <w:pStyle w:val="Heading2"/>
      </w:pPr>
      <w:r>
        <w:t>Internet Information Services Setup</w:t>
      </w:r>
    </w:p>
    <w:p w14:paraId="3512E815" w14:textId="389B4D58" w:rsidR="00B01FDF" w:rsidRDefault="00B01FDF" w:rsidP="00B01FDF">
      <w:pPr>
        <w:pStyle w:val="ListParagraph"/>
        <w:numPr>
          <w:ilvl w:val="0"/>
          <w:numId w:val="1"/>
        </w:numPr>
      </w:pPr>
      <w:r>
        <w:t>Installation and configuration of the IIS instance is the responsibility of the administrator configuration the application.</w:t>
      </w:r>
    </w:p>
    <w:p w14:paraId="38F30176" w14:textId="7B7B2F0C" w:rsidR="00B01FDF" w:rsidRDefault="00B01FDF" w:rsidP="00B01FDF">
      <w:pPr>
        <w:pStyle w:val="ListParagraph"/>
        <w:numPr>
          <w:ilvl w:val="0"/>
          <w:numId w:val="1"/>
        </w:numPr>
      </w:pPr>
      <w:r>
        <w:t>The DMCS application requires the ASP.NET Core Module be installed. The module should be installed after the installation of IIS but prior to creating the DMCS website.</w:t>
      </w:r>
    </w:p>
    <w:p w14:paraId="3FC8D24D" w14:textId="5B666685" w:rsidR="00B01FDF" w:rsidRDefault="00B01FDF" w:rsidP="00B01FDF">
      <w:pPr>
        <w:pStyle w:val="ListParagraph"/>
        <w:numPr>
          <w:ilvl w:val="1"/>
          <w:numId w:val="1"/>
        </w:numPr>
      </w:pPr>
      <w:r>
        <w:t xml:space="preserve">After installing the </w:t>
      </w:r>
      <w:proofErr w:type="gramStart"/>
      <w:r>
        <w:t>module</w:t>
      </w:r>
      <w:proofErr w:type="gramEnd"/>
      <w:r>
        <w:t xml:space="preserve"> the server will need to be restarted or the following commands executed from an elevated command prompt:</w:t>
      </w:r>
    </w:p>
    <w:p w14:paraId="0277EE83" w14:textId="080448A7" w:rsidR="00B01FDF" w:rsidRDefault="00B01FDF" w:rsidP="00B01FDF">
      <w:pPr>
        <w:pStyle w:val="ListParagraph"/>
        <w:numPr>
          <w:ilvl w:val="2"/>
          <w:numId w:val="1"/>
        </w:numPr>
      </w:pPr>
      <w:r>
        <w:t>“</w:t>
      </w:r>
      <w:proofErr w:type="spellStart"/>
      <w:proofErr w:type="gramStart"/>
      <w:r>
        <w:t>net</w:t>
      </w:r>
      <w:proofErr w:type="spellEnd"/>
      <w:proofErr w:type="gramEnd"/>
      <w:r>
        <w:t xml:space="preserve"> stop was</w:t>
      </w:r>
      <w:r w:rsidR="000436EF">
        <w:t xml:space="preserve"> </w:t>
      </w:r>
      <w:r>
        <w:t>/y”</w:t>
      </w:r>
    </w:p>
    <w:p w14:paraId="3CCA7A4B" w14:textId="53C5D954" w:rsidR="00B01FDF" w:rsidRDefault="00B01FDF" w:rsidP="00B01FDF">
      <w:pPr>
        <w:pStyle w:val="ListParagraph"/>
        <w:numPr>
          <w:ilvl w:val="2"/>
          <w:numId w:val="1"/>
        </w:numPr>
      </w:pPr>
      <w:r>
        <w:t>“</w:t>
      </w:r>
      <w:proofErr w:type="gramStart"/>
      <w:r>
        <w:t>net</w:t>
      </w:r>
      <w:proofErr w:type="gramEnd"/>
      <w:r>
        <w:t xml:space="preserve"> start w3svc”</w:t>
      </w:r>
    </w:p>
    <w:p w14:paraId="682F5370" w14:textId="4DF17CB9" w:rsidR="00B01FDF" w:rsidRDefault="00B01FDF" w:rsidP="00B01FDF">
      <w:pPr>
        <w:pStyle w:val="ListParagraph"/>
        <w:numPr>
          <w:ilvl w:val="0"/>
          <w:numId w:val="1"/>
        </w:numPr>
      </w:pPr>
      <w:r>
        <w:t>Create the website for the DMCS application; provide a site name and set the physical path to point to the “DMCS” folder from the installation package. Configure the desired bindings, and transport.</w:t>
      </w:r>
    </w:p>
    <w:p w14:paraId="444AB227" w14:textId="46D40EDD" w:rsidR="00B01FDF" w:rsidRDefault="00B01FDF" w:rsidP="00B01FDF">
      <w:pPr>
        <w:pStyle w:val="ListParagraph"/>
        <w:numPr>
          <w:ilvl w:val="0"/>
          <w:numId w:val="1"/>
        </w:numPr>
      </w:pPr>
      <w:r>
        <w:t>Confirm the process model identity (the identity the site is running under) has proper permissions. The identity will need read/write permissions to the cache folder, and the website root folder.</w:t>
      </w:r>
    </w:p>
    <w:p w14:paraId="504B12EB" w14:textId="5B54206E" w:rsidR="00B01FDF" w:rsidRDefault="00B01FDF">
      <w:pPr>
        <w:spacing w:before="0" w:after="0"/>
        <w:ind w:left="0" w:right="0"/>
      </w:pPr>
      <w:r>
        <w:br w:type="page"/>
      </w:r>
    </w:p>
    <w:p w14:paraId="456D1006" w14:textId="72EF756C" w:rsidR="00B01FDF" w:rsidRDefault="00B01FDF" w:rsidP="0023539D">
      <w:pPr>
        <w:pStyle w:val="Heading2"/>
      </w:pPr>
      <w:r>
        <w:lastRenderedPageBreak/>
        <w:t>DMCS Configuration</w:t>
      </w:r>
    </w:p>
    <w:p w14:paraId="67789F5A" w14:textId="75D335DC" w:rsidR="00B01FDF" w:rsidRDefault="00932093" w:rsidP="00B01FDF">
      <w:r>
        <w:t>Set the following configuration settings, all other settings have default values:</w:t>
      </w:r>
    </w:p>
    <w:p w14:paraId="0750B1EF" w14:textId="530BDB3D" w:rsidR="00932093" w:rsidRDefault="00932093" w:rsidP="00932093">
      <w:pPr>
        <w:pStyle w:val="ListParagraph"/>
        <w:numPr>
          <w:ilvl w:val="0"/>
          <w:numId w:val="1"/>
        </w:numPr>
      </w:pPr>
      <w:proofErr w:type="spellStart"/>
      <w:r>
        <w:t>ConnectionStrings</w:t>
      </w:r>
      <w:proofErr w:type="spellEnd"/>
      <w:r>
        <w:t xml:space="preserve">: </w:t>
      </w:r>
      <w:proofErr w:type="spellStart"/>
      <w:r>
        <w:t>DBContextConnection</w:t>
      </w:r>
      <w:proofErr w:type="spellEnd"/>
    </w:p>
    <w:p w14:paraId="35995CD4" w14:textId="281E71B3" w:rsidR="00932093" w:rsidRDefault="00932093" w:rsidP="00932093">
      <w:pPr>
        <w:pStyle w:val="ListParagraph"/>
        <w:numPr>
          <w:ilvl w:val="0"/>
          <w:numId w:val="1"/>
        </w:numPr>
      </w:pPr>
      <w:proofErr w:type="spellStart"/>
      <w:r>
        <w:t>PopMedNet</w:t>
      </w:r>
      <w:proofErr w:type="spellEnd"/>
      <w:r>
        <w:t xml:space="preserve">: </w:t>
      </w:r>
      <w:proofErr w:type="spellStart"/>
      <w:r>
        <w:t>NetworkName</w:t>
      </w:r>
      <w:proofErr w:type="spellEnd"/>
      <w:r>
        <w:t xml:space="preserve"> and </w:t>
      </w:r>
      <w:proofErr w:type="spellStart"/>
      <w:r>
        <w:t>ApiServiceURL</w:t>
      </w:r>
      <w:proofErr w:type="spellEnd"/>
    </w:p>
    <w:p w14:paraId="32FCAB08" w14:textId="42C63D9F" w:rsidR="00932093" w:rsidRDefault="00932093" w:rsidP="00932093">
      <w:pPr>
        <w:pStyle w:val="ListParagraph"/>
        <w:numPr>
          <w:ilvl w:val="0"/>
          <w:numId w:val="1"/>
        </w:numPr>
      </w:pPr>
      <w:r>
        <w:t xml:space="preserve">Settings: </w:t>
      </w:r>
      <w:proofErr w:type="spellStart"/>
      <w:r>
        <w:t>CacheFolder</w:t>
      </w:r>
      <w:proofErr w:type="spellEnd"/>
    </w:p>
    <w:tbl>
      <w:tblPr>
        <w:tblStyle w:val="TableGrid"/>
        <w:tblW w:w="0" w:type="auto"/>
        <w:tblInd w:w="720" w:type="dxa"/>
        <w:tblLayout w:type="fixed"/>
        <w:tblLook w:val="04A0" w:firstRow="1" w:lastRow="0" w:firstColumn="1" w:lastColumn="0" w:noHBand="0" w:noVBand="1"/>
      </w:tblPr>
      <w:tblGrid>
        <w:gridCol w:w="3325"/>
        <w:gridCol w:w="3500"/>
        <w:gridCol w:w="3245"/>
      </w:tblGrid>
      <w:tr w:rsidR="00BC0FDB" w14:paraId="3AE09AC3" w14:textId="77777777" w:rsidTr="0023539D">
        <w:trPr>
          <w:trHeight w:val="368"/>
        </w:trPr>
        <w:tc>
          <w:tcPr>
            <w:tcW w:w="10070" w:type="dxa"/>
            <w:gridSpan w:val="3"/>
            <w:shd w:val="clear" w:color="auto" w:fill="F2F2F2" w:themeFill="background1" w:themeFillShade="F2"/>
            <w:vAlign w:val="center"/>
          </w:tcPr>
          <w:p w14:paraId="742E9A41" w14:textId="5659CC30" w:rsidR="00BC0FDB" w:rsidRDefault="00BC0FDB" w:rsidP="00284853">
            <w:pPr>
              <w:spacing w:before="240" w:after="240"/>
              <w:ind w:left="0"/>
            </w:pPr>
            <w:proofErr w:type="spellStart"/>
            <w:r>
              <w:t>ConnectionStrings</w:t>
            </w:r>
            <w:proofErr w:type="spellEnd"/>
          </w:p>
        </w:tc>
      </w:tr>
      <w:tr w:rsidR="00BC0FDB" w14:paraId="532D290B" w14:textId="77777777" w:rsidTr="00E002F9">
        <w:tc>
          <w:tcPr>
            <w:tcW w:w="3325" w:type="dxa"/>
          </w:tcPr>
          <w:p w14:paraId="559DFB16" w14:textId="15A761AA" w:rsidR="00BC0FDB" w:rsidRDefault="00BC0FDB" w:rsidP="00284853">
            <w:pPr>
              <w:ind w:left="144"/>
            </w:pPr>
            <w:proofErr w:type="spellStart"/>
            <w:r>
              <w:t>DBContextConnection</w:t>
            </w:r>
            <w:proofErr w:type="spellEnd"/>
          </w:p>
        </w:tc>
        <w:tc>
          <w:tcPr>
            <w:tcW w:w="6745" w:type="dxa"/>
            <w:gridSpan w:val="2"/>
          </w:tcPr>
          <w:p w14:paraId="12357CBA" w14:textId="77777777" w:rsidR="00BC0FDB" w:rsidRPr="0023539D" w:rsidRDefault="00BC0FDB" w:rsidP="00932093">
            <w:pPr>
              <w:ind w:left="0"/>
              <w:rPr>
                <w:sz w:val="22"/>
                <w:szCs w:val="22"/>
              </w:rPr>
            </w:pPr>
            <w:r>
              <w:t>Connection string for the database</w:t>
            </w:r>
            <w:r w:rsidR="00E002F9">
              <w:t>.</w:t>
            </w:r>
            <w:r w:rsidR="00E002F9">
              <w:br/>
              <w:t>Example:</w:t>
            </w:r>
            <w:r w:rsidR="00E002F9">
              <w:br/>
            </w:r>
            <w:r w:rsidR="00E002F9" w:rsidRPr="0023539D">
              <w:rPr>
                <w:sz w:val="22"/>
                <w:szCs w:val="22"/>
              </w:rPr>
              <w:t>Server=</w:t>
            </w:r>
            <w:proofErr w:type="spellStart"/>
            <w:proofErr w:type="gramStart"/>
            <w:r w:rsidR="00E002F9" w:rsidRPr="0023539D">
              <w:rPr>
                <w:sz w:val="22"/>
                <w:szCs w:val="22"/>
              </w:rPr>
              <w:t>localhost;Database</w:t>
            </w:r>
            <w:proofErr w:type="spellEnd"/>
            <w:proofErr w:type="gramEnd"/>
            <w:r w:rsidR="00E002F9" w:rsidRPr="0023539D">
              <w:rPr>
                <w:sz w:val="22"/>
                <w:szCs w:val="22"/>
              </w:rPr>
              <w:t>={database name};Integrated Security=</w:t>
            </w:r>
            <w:proofErr w:type="spellStart"/>
            <w:r w:rsidR="00E002F9" w:rsidRPr="0023539D">
              <w:rPr>
                <w:sz w:val="22"/>
                <w:szCs w:val="22"/>
              </w:rPr>
              <w:t>SSPI;MultipleActiveResultSets</w:t>
            </w:r>
            <w:proofErr w:type="spellEnd"/>
            <w:r w:rsidR="00E002F9" w:rsidRPr="0023539D">
              <w:rPr>
                <w:sz w:val="22"/>
                <w:szCs w:val="22"/>
              </w:rPr>
              <w:t>=True;</w:t>
            </w:r>
          </w:p>
          <w:p w14:paraId="78F7BD7C" w14:textId="5E8D1709" w:rsidR="00E002F9" w:rsidRDefault="00E002F9" w:rsidP="00932093">
            <w:pPr>
              <w:ind w:left="0"/>
            </w:pPr>
            <w:r w:rsidRPr="0023539D">
              <w:rPr>
                <w:sz w:val="22"/>
                <w:szCs w:val="22"/>
              </w:rPr>
              <w:t>Server=192.168.0.1:</w:t>
            </w:r>
            <w:proofErr w:type="gramStart"/>
            <w:r w:rsidRPr="0023539D">
              <w:rPr>
                <w:sz w:val="22"/>
                <w:szCs w:val="22"/>
              </w:rPr>
              <w:t>1452;Database</w:t>
            </w:r>
            <w:proofErr w:type="gramEnd"/>
            <w:r w:rsidRPr="0023539D">
              <w:rPr>
                <w:sz w:val="22"/>
                <w:szCs w:val="22"/>
              </w:rPr>
              <w:t>={database name};User ID={username};Password:{password};</w:t>
            </w:r>
            <w:proofErr w:type="spellStart"/>
            <w:r w:rsidRPr="0023539D">
              <w:rPr>
                <w:sz w:val="22"/>
                <w:szCs w:val="22"/>
              </w:rPr>
              <w:t>MultipleActiveResultSets</w:t>
            </w:r>
            <w:proofErr w:type="spellEnd"/>
            <w:r w:rsidRPr="0023539D">
              <w:rPr>
                <w:sz w:val="22"/>
                <w:szCs w:val="22"/>
              </w:rPr>
              <w:t>=True;</w:t>
            </w:r>
          </w:p>
        </w:tc>
      </w:tr>
      <w:tr w:rsidR="00BC0FDB" w14:paraId="5081CB85" w14:textId="77777777" w:rsidTr="0023539D">
        <w:tc>
          <w:tcPr>
            <w:tcW w:w="10070" w:type="dxa"/>
            <w:gridSpan w:val="3"/>
            <w:shd w:val="clear" w:color="auto" w:fill="F2F2F2" w:themeFill="background1" w:themeFillShade="F2"/>
          </w:tcPr>
          <w:p w14:paraId="7814C977" w14:textId="07DDB417" w:rsidR="00BC0FDB" w:rsidRDefault="00BC0FDB" w:rsidP="00284853">
            <w:pPr>
              <w:spacing w:after="120"/>
              <w:ind w:left="0"/>
            </w:pPr>
            <w:proofErr w:type="spellStart"/>
            <w:r>
              <w:t>PopMedNet</w:t>
            </w:r>
            <w:proofErr w:type="spellEnd"/>
          </w:p>
        </w:tc>
      </w:tr>
      <w:tr w:rsidR="00BC0FDB" w14:paraId="5F92E1E3" w14:textId="77777777" w:rsidTr="00E002F9">
        <w:tc>
          <w:tcPr>
            <w:tcW w:w="3325" w:type="dxa"/>
          </w:tcPr>
          <w:p w14:paraId="1E699FBC" w14:textId="11DE850E" w:rsidR="00BC0FDB" w:rsidRDefault="00BC0FDB" w:rsidP="00284853">
            <w:pPr>
              <w:ind w:left="144"/>
            </w:pPr>
            <w:proofErr w:type="spellStart"/>
            <w:r>
              <w:t>NetworkName</w:t>
            </w:r>
            <w:proofErr w:type="spellEnd"/>
          </w:p>
        </w:tc>
        <w:tc>
          <w:tcPr>
            <w:tcW w:w="6745" w:type="dxa"/>
            <w:gridSpan w:val="2"/>
          </w:tcPr>
          <w:p w14:paraId="0887DF6C" w14:textId="318A8FD0" w:rsidR="00BC0FDB" w:rsidRDefault="00BC0FDB" w:rsidP="00932093">
            <w:pPr>
              <w:ind w:left="0"/>
            </w:pPr>
            <w:r>
              <w:t>The name of the network the application is connected to. Displayed as the name of the application.</w:t>
            </w:r>
          </w:p>
        </w:tc>
      </w:tr>
      <w:tr w:rsidR="00BC0FDB" w14:paraId="11632A78" w14:textId="77777777" w:rsidTr="00E002F9">
        <w:tc>
          <w:tcPr>
            <w:tcW w:w="3325" w:type="dxa"/>
          </w:tcPr>
          <w:p w14:paraId="20F0AF63" w14:textId="6DF8980D" w:rsidR="00BC0FDB" w:rsidRDefault="00BC0FDB" w:rsidP="00284853">
            <w:pPr>
              <w:ind w:left="144"/>
            </w:pPr>
            <w:proofErr w:type="spellStart"/>
            <w:r>
              <w:t>ApiServiceURL</w:t>
            </w:r>
            <w:proofErr w:type="spellEnd"/>
          </w:p>
        </w:tc>
        <w:tc>
          <w:tcPr>
            <w:tcW w:w="6745" w:type="dxa"/>
            <w:gridSpan w:val="2"/>
          </w:tcPr>
          <w:p w14:paraId="2C4FEDD1" w14:textId="1EC4BCE5" w:rsidR="00BC0FDB" w:rsidRDefault="00BC0FDB" w:rsidP="00932093">
            <w:pPr>
              <w:ind w:left="0"/>
            </w:pPr>
            <w:r>
              <w:t xml:space="preserve">The qualified </w:t>
            </w:r>
            <w:proofErr w:type="spellStart"/>
            <w:r>
              <w:t>url</w:t>
            </w:r>
            <w:proofErr w:type="spellEnd"/>
            <w:r>
              <w:t xml:space="preserve"> to the PMN API. This is the same value as used in the DMC.</w:t>
            </w:r>
          </w:p>
        </w:tc>
      </w:tr>
      <w:tr w:rsidR="00BC0FDB" w14:paraId="07030433" w14:textId="77777777" w:rsidTr="00E002F9">
        <w:tc>
          <w:tcPr>
            <w:tcW w:w="3325" w:type="dxa"/>
          </w:tcPr>
          <w:p w14:paraId="2460F245" w14:textId="35DEBFAE" w:rsidR="00BC0FDB" w:rsidRDefault="00BC0FDB" w:rsidP="00284853">
            <w:pPr>
              <w:ind w:left="144" w:right="576"/>
            </w:pPr>
            <w:proofErr w:type="spellStart"/>
            <w:r>
              <w:t>ServiceUserCredentials</w:t>
            </w:r>
            <w:proofErr w:type="spellEnd"/>
          </w:p>
        </w:tc>
        <w:tc>
          <w:tcPr>
            <w:tcW w:w="6745" w:type="dxa"/>
            <w:gridSpan w:val="2"/>
          </w:tcPr>
          <w:p w14:paraId="12C0BC43" w14:textId="428F7472" w:rsidR="00BC0FDB" w:rsidRDefault="00BC0FDB" w:rsidP="00932093">
            <w:pPr>
              <w:ind w:left="0"/>
            </w:pPr>
            <w:r>
              <w:t>Service user account credentials, used to authenticate to the PMN API when a specific user account is not available/applicable.</w:t>
            </w:r>
          </w:p>
        </w:tc>
      </w:tr>
      <w:tr w:rsidR="00E002F9" w14:paraId="5C4350A7" w14:textId="77777777" w:rsidTr="00E002F9">
        <w:tc>
          <w:tcPr>
            <w:tcW w:w="3325" w:type="dxa"/>
          </w:tcPr>
          <w:p w14:paraId="19C4D24D" w14:textId="77777777" w:rsidR="00932093" w:rsidRDefault="00932093" w:rsidP="00932093">
            <w:pPr>
              <w:ind w:left="0"/>
            </w:pPr>
          </w:p>
        </w:tc>
        <w:tc>
          <w:tcPr>
            <w:tcW w:w="3500" w:type="dxa"/>
          </w:tcPr>
          <w:p w14:paraId="2EC4892C" w14:textId="2650AB41" w:rsidR="00932093" w:rsidRDefault="00BC0FDB" w:rsidP="00932093">
            <w:pPr>
              <w:ind w:left="0"/>
            </w:pPr>
            <w:proofErr w:type="spellStart"/>
            <w:r>
              <w:t>UserName</w:t>
            </w:r>
            <w:proofErr w:type="spellEnd"/>
          </w:p>
        </w:tc>
        <w:tc>
          <w:tcPr>
            <w:tcW w:w="3245" w:type="dxa"/>
          </w:tcPr>
          <w:p w14:paraId="44CF357A" w14:textId="1BA32DA7" w:rsidR="00932093" w:rsidRDefault="00BC0FDB" w:rsidP="00932093">
            <w:pPr>
              <w:ind w:left="0"/>
            </w:pPr>
            <w:r>
              <w:t>The username of the identity the DMCS application will use to authenticate to the PMN API as. This is a service user account, do not change unless instructed to.</w:t>
            </w:r>
          </w:p>
        </w:tc>
      </w:tr>
      <w:tr w:rsidR="00E002F9" w14:paraId="7CADF606" w14:textId="77777777" w:rsidTr="00E002F9">
        <w:tc>
          <w:tcPr>
            <w:tcW w:w="3325" w:type="dxa"/>
          </w:tcPr>
          <w:p w14:paraId="1D79ED83" w14:textId="77777777" w:rsidR="00932093" w:rsidRDefault="00932093" w:rsidP="00932093">
            <w:pPr>
              <w:ind w:left="0"/>
            </w:pPr>
          </w:p>
        </w:tc>
        <w:tc>
          <w:tcPr>
            <w:tcW w:w="3500" w:type="dxa"/>
          </w:tcPr>
          <w:p w14:paraId="69998212" w14:textId="4378B29A" w:rsidR="00932093" w:rsidRDefault="00BC0FDB" w:rsidP="00932093">
            <w:pPr>
              <w:ind w:left="0"/>
            </w:pPr>
            <w:proofErr w:type="spellStart"/>
            <w:r>
              <w:t>EncryptedPassword</w:t>
            </w:r>
            <w:proofErr w:type="spellEnd"/>
          </w:p>
        </w:tc>
        <w:tc>
          <w:tcPr>
            <w:tcW w:w="3245" w:type="dxa"/>
          </w:tcPr>
          <w:p w14:paraId="411FD151" w14:textId="69062390" w:rsidR="00932093" w:rsidRDefault="00BC0FDB" w:rsidP="00932093">
            <w:pPr>
              <w:ind w:left="0"/>
            </w:pPr>
            <w:r>
              <w:t>The password of the service user account.</w:t>
            </w:r>
          </w:p>
        </w:tc>
      </w:tr>
    </w:tbl>
    <w:p w14:paraId="6439EA01" w14:textId="77777777" w:rsidR="0023539D" w:rsidRDefault="0023539D">
      <w:r>
        <w:br w:type="page"/>
      </w:r>
    </w:p>
    <w:tbl>
      <w:tblPr>
        <w:tblStyle w:val="TableGrid"/>
        <w:tblW w:w="0" w:type="auto"/>
        <w:tblInd w:w="720" w:type="dxa"/>
        <w:tblLayout w:type="fixed"/>
        <w:tblLook w:val="04A0" w:firstRow="1" w:lastRow="0" w:firstColumn="1" w:lastColumn="0" w:noHBand="0" w:noVBand="1"/>
      </w:tblPr>
      <w:tblGrid>
        <w:gridCol w:w="3595"/>
        <w:gridCol w:w="6475"/>
      </w:tblGrid>
      <w:tr w:rsidR="0023539D" w14:paraId="09DE3B7E" w14:textId="77777777" w:rsidTr="003260FA">
        <w:tc>
          <w:tcPr>
            <w:tcW w:w="10070" w:type="dxa"/>
            <w:gridSpan w:val="2"/>
            <w:shd w:val="clear" w:color="auto" w:fill="F2F2F2" w:themeFill="background1" w:themeFillShade="F2"/>
          </w:tcPr>
          <w:p w14:paraId="4025EC12" w14:textId="4E606CC7" w:rsidR="0023539D" w:rsidRDefault="0023539D" w:rsidP="0023539D">
            <w:pPr>
              <w:spacing w:before="240" w:after="240"/>
              <w:ind w:left="0"/>
            </w:pPr>
            <w:r>
              <w:lastRenderedPageBreak/>
              <w:t>Settings</w:t>
            </w:r>
          </w:p>
        </w:tc>
      </w:tr>
      <w:tr w:rsidR="00453829" w14:paraId="0C7F9D69" w14:textId="77777777" w:rsidTr="000C4469">
        <w:tc>
          <w:tcPr>
            <w:tcW w:w="3595" w:type="dxa"/>
          </w:tcPr>
          <w:p w14:paraId="7E7BB96B" w14:textId="10E0D214" w:rsidR="00453829" w:rsidRDefault="00453829" w:rsidP="00284853">
            <w:pPr>
              <w:ind w:left="144"/>
            </w:pPr>
            <w:proofErr w:type="spellStart"/>
            <w:r>
              <w:t>DMCSIdentifier</w:t>
            </w:r>
            <w:proofErr w:type="spellEnd"/>
          </w:p>
        </w:tc>
        <w:tc>
          <w:tcPr>
            <w:tcW w:w="6475" w:type="dxa"/>
          </w:tcPr>
          <w:p w14:paraId="71CACF4C" w14:textId="36BF35FF" w:rsidR="00453829" w:rsidRDefault="00453829" w:rsidP="00932093">
            <w:pPr>
              <w:ind w:left="0"/>
            </w:pPr>
            <w:r>
              <w:t xml:space="preserve">A unique identifier for the DMCS instance. If empty the application will automatically generate an identifier. It is recommended to let the application generate the value. If the administrator wishes to generate a specific identifier it must be a valid GUID in the format </w:t>
            </w:r>
            <w:proofErr w:type="spellStart"/>
            <w:r>
              <w:t>xxxxxxxx-xxxx-xxxx-xxxx-xxxxxxxxxxxx</w:t>
            </w:r>
            <w:proofErr w:type="spellEnd"/>
            <w:r>
              <w:t>.</w:t>
            </w:r>
          </w:p>
        </w:tc>
      </w:tr>
      <w:tr w:rsidR="0023539D" w14:paraId="4069EDDB" w14:textId="77777777" w:rsidTr="000C4469">
        <w:tc>
          <w:tcPr>
            <w:tcW w:w="3595" w:type="dxa"/>
          </w:tcPr>
          <w:p w14:paraId="36C27730" w14:textId="4658FE15" w:rsidR="0023539D" w:rsidRDefault="0023539D" w:rsidP="00284853">
            <w:pPr>
              <w:ind w:left="144"/>
            </w:pPr>
            <w:proofErr w:type="spellStart"/>
            <w:r>
              <w:t>CacheFolder</w:t>
            </w:r>
            <w:proofErr w:type="spellEnd"/>
          </w:p>
        </w:tc>
        <w:tc>
          <w:tcPr>
            <w:tcW w:w="6475" w:type="dxa"/>
          </w:tcPr>
          <w:p w14:paraId="406A130F" w14:textId="473180B2" w:rsidR="0023539D" w:rsidRDefault="0023539D" w:rsidP="00932093">
            <w:pPr>
              <w:ind w:left="0"/>
            </w:pPr>
            <w:r>
              <w:t>The full path to the cache folder. The folder must be accessible for read and write operations by the DMCS application. Network paths to file shares are valid.</w:t>
            </w:r>
          </w:p>
        </w:tc>
      </w:tr>
      <w:tr w:rsidR="00E002F9" w14:paraId="24EF4849" w14:textId="77777777" w:rsidTr="000C4469">
        <w:tc>
          <w:tcPr>
            <w:tcW w:w="3595" w:type="dxa"/>
          </w:tcPr>
          <w:p w14:paraId="1CAD5C57" w14:textId="3C132019" w:rsidR="00E002F9" w:rsidRDefault="00E002F9" w:rsidP="00284853">
            <w:pPr>
              <w:ind w:left="144"/>
            </w:pPr>
            <w:proofErr w:type="spellStart"/>
            <w:r>
              <w:t>CacheFolderTimer</w:t>
            </w:r>
            <w:proofErr w:type="spellEnd"/>
          </w:p>
        </w:tc>
        <w:tc>
          <w:tcPr>
            <w:tcW w:w="6475" w:type="dxa"/>
          </w:tcPr>
          <w:p w14:paraId="6EED6958" w14:textId="7DF78897" w:rsidR="00E002F9" w:rsidRDefault="00F351CA" w:rsidP="00932093">
            <w:pPr>
              <w:ind w:left="0"/>
            </w:pPr>
            <w:r>
              <w:t>The interval for how often the caching service should check for expired cache items in minutes.</w:t>
            </w:r>
          </w:p>
        </w:tc>
      </w:tr>
      <w:tr w:rsidR="00E002F9" w14:paraId="6B6A2F44" w14:textId="77777777" w:rsidTr="000C4469">
        <w:tc>
          <w:tcPr>
            <w:tcW w:w="3595" w:type="dxa"/>
          </w:tcPr>
          <w:p w14:paraId="7DB9285A" w14:textId="049A8536" w:rsidR="00E002F9" w:rsidRDefault="00E002F9" w:rsidP="00284853">
            <w:pPr>
              <w:ind w:left="144"/>
            </w:pPr>
            <w:r>
              <w:t>Hash</w:t>
            </w:r>
          </w:p>
        </w:tc>
        <w:tc>
          <w:tcPr>
            <w:tcW w:w="6475" w:type="dxa"/>
          </w:tcPr>
          <w:p w14:paraId="22B741F6" w14:textId="7D7B291E" w:rsidR="00E002F9" w:rsidRDefault="00F351CA" w:rsidP="00932093">
            <w:pPr>
              <w:ind w:left="0"/>
            </w:pPr>
            <w:r>
              <w:t>The salt hash used for encrypting cached items.</w:t>
            </w:r>
          </w:p>
        </w:tc>
      </w:tr>
      <w:tr w:rsidR="00E002F9" w14:paraId="7230A977" w14:textId="77777777" w:rsidTr="000C4469">
        <w:tc>
          <w:tcPr>
            <w:tcW w:w="3595" w:type="dxa"/>
          </w:tcPr>
          <w:p w14:paraId="69124168" w14:textId="6456AD61" w:rsidR="00E002F9" w:rsidRDefault="00E002F9" w:rsidP="00284853">
            <w:pPr>
              <w:ind w:left="144"/>
            </w:pPr>
            <w:r>
              <w:t>Key</w:t>
            </w:r>
          </w:p>
        </w:tc>
        <w:tc>
          <w:tcPr>
            <w:tcW w:w="6475" w:type="dxa"/>
          </w:tcPr>
          <w:p w14:paraId="27B1FC81" w14:textId="186F35B2" w:rsidR="00E002F9" w:rsidRDefault="00F351CA" w:rsidP="00932093">
            <w:pPr>
              <w:ind w:left="0"/>
            </w:pPr>
            <w:r>
              <w:t>The encryption key used for encrypting cached items.</w:t>
            </w:r>
          </w:p>
        </w:tc>
      </w:tr>
      <w:tr w:rsidR="00E002F9" w14:paraId="6DBE17BF" w14:textId="77777777" w:rsidTr="000C4469">
        <w:tc>
          <w:tcPr>
            <w:tcW w:w="3595" w:type="dxa"/>
          </w:tcPr>
          <w:p w14:paraId="1139A8C9" w14:textId="37839F7D" w:rsidR="00E002F9" w:rsidRDefault="00E002F9" w:rsidP="00284853">
            <w:pPr>
              <w:ind w:left="144"/>
            </w:pPr>
            <w:proofErr w:type="spellStart"/>
            <w:r>
              <w:t>SyncServiceInterval</w:t>
            </w:r>
            <w:proofErr w:type="spellEnd"/>
          </w:p>
        </w:tc>
        <w:tc>
          <w:tcPr>
            <w:tcW w:w="6475" w:type="dxa"/>
          </w:tcPr>
          <w:p w14:paraId="290811AE" w14:textId="77777777" w:rsidR="00E002F9" w:rsidRDefault="00E002F9" w:rsidP="00932093">
            <w:pPr>
              <w:ind w:left="0"/>
            </w:pPr>
            <w:r>
              <w:t>The time interval between synchronizations with the PMN API. Default is 1 minutes.</w:t>
            </w:r>
          </w:p>
          <w:p w14:paraId="4529C02B" w14:textId="62341544" w:rsidR="00E002F9" w:rsidRDefault="00E002F9" w:rsidP="00932093">
            <w:pPr>
              <w:ind w:left="0"/>
            </w:pPr>
            <w:r>
              <w:t xml:space="preserve">Format: </w:t>
            </w:r>
            <w:r>
              <w:br/>
            </w:r>
            <w:r w:rsidRPr="0023539D">
              <w:rPr>
                <w:sz w:val="22"/>
                <w:szCs w:val="22"/>
              </w:rPr>
              <w:t xml:space="preserve">[days -optional with period </w:t>
            </w:r>
            <w:proofErr w:type="gramStart"/>
            <w:r w:rsidRPr="0023539D">
              <w:rPr>
                <w:sz w:val="22"/>
                <w:szCs w:val="22"/>
              </w:rPr>
              <w:t>delimiter]</w:t>
            </w:r>
            <w:proofErr w:type="spellStart"/>
            <w:r w:rsidRPr="0023539D">
              <w:rPr>
                <w:sz w:val="22"/>
                <w:szCs w:val="22"/>
              </w:rPr>
              <w:t>hours</w:t>
            </w:r>
            <w:proofErr w:type="gramEnd"/>
            <w:r w:rsidRPr="0023539D">
              <w:rPr>
                <w:sz w:val="22"/>
                <w:szCs w:val="22"/>
              </w:rPr>
              <w:t>:minutes:seconds</w:t>
            </w:r>
            <w:proofErr w:type="spellEnd"/>
            <w:r>
              <w:br/>
            </w:r>
            <w:proofErr w:type="spellStart"/>
            <w:r>
              <w:t>d.hh:mm:ss</w:t>
            </w:r>
            <w:proofErr w:type="spellEnd"/>
          </w:p>
        </w:tc>
      </w:tr>
      <w:tr w:rsidR="00E002F9" w14:paraId="47E7D54A" w14:textId="77777777" w:rsidTr="0023539D">
        <w:tc>
          <w:tcPr>
            <w:tcW w:w="10070" w:type="dxa"/>
            <w:gridSpan w:val="2"/>
            <w:shd w:val="clear" w:color="auto" w:fill="F2F2F2" w:themeFill="background1" w:themeFillShade="F2"/>
          </w:tcPr>
          <w:p w14:paraId="2F8CCED7" w14:textId="4E727D3C" w:rsidR="00E002F9" w:rsidRDefault="00E002F9" w:rsidP="00284853">
            <w:pPr>
              <w:spacing w:before="240" w:after="240"/>
              <w:ind w:left="0"/>
            </w:pPr>
            <w:r>
              <w:t>Application</w:t>
            </w:r>
          </w:p>
        </w:tc>
      </w:tr>
      <w:tr w:rsidR="00E002F9" w14:paraId="094AB069" w14:textId="77777777" w:rsidTr="000C4469">
        <w:tc>
          <w:tcPr>
            <w:tcW w:w="3595" w:type="dxa"/>
          </w:tcPr>
          <w:p w14:paraId="57C98E63" w14:textId="6EF4727D" w:rsidR="00E002F9" w:rsidRDefault="00E002F9" w:rsidP="00284853">
            <w:pPr>
              <w:ind w:left="144"/>
            </w:pPr>
            <w:proofErr w:type="spellStart"/>
            <w:r>
              <w:t>LockoutTime</w:t>
            </w:r>
            <w:proofErr w:type="spellEnd"/>
          </w:p>
        </w:tc>
        <w:tc>
          <w:tcPr>
            <w:tcW w:w="6475" w:type="dxa"/>
          </w:tcPr>
          <w:p w14:paraId="3F78686B" w14:textId="5FB000C6" w:rsidR="00E002F9" w:rsidRDefault="00900DD9" w:rsidP="00932093">
            <w:pPr>
              <w:ind w:left="0"/>
            </w:pPr>
            <w:r>
              <w:t>* Not currently implemented.</w:t>
            </w:r>
          </w:p>
        </w:tc>
      </w:tr>
      <w:tr w:rsidR="00E002F9" w14:paraId="716B6E3B" w14:textId="77777777" w:rsidTr="000C4469">
        <w:tc>
          <w:tcPr>
            <w:tcW w:w="3595" w:type="dxa"/>
          </w:tcPr>
          <w:p w14:paraId="7A78D753" w14:textId="14349946" w:rsidR="00E002F9" w:rsidRDefault="00E002F9" w:rsidP="00284853">
            <w:pPr>
              <w:ind w:left="144"/>
            </w:pPr>
            <w:proofErr w:type="spellStart"/>
            <w:r>
              <w:t>LockoutCount</w:t>
            </w:r>
            <w:proofErr w:type="spellEnd"/>
          </w:p>
        </w:tc>
        <w:tc>
          <w:tcPr>
            <w:tcW w:w="6475" w:type="dxa"/>
          </w:tcPr>
          <w:p w14:paraId="01889FE9" w14:textId="72065FAB" w:rsidR="00E940B0" w:rsidRDefault="00900DD9" w:rsidP="00932093">
            <w:pPr>
              <w:ind w:left="0"/>
            </w:pPr>
            <w:r>
              <w:t>* Not currently implemented.</w:t>
            </w:r>
          </w:p>
        </w:tc>
      </w:tr>
      <w:tr w:rsidR="00E940B0" w14:paraId="053995D2" w14:textId="77777777" w:rsidTr="000C4469">
        <w:tc>
          <w:tcPr>
            <w:tcW w:w="3595" w:type="dxa"/>
          </w:tcPr>
          <w:p w14:paraId="0D409C36" w14:textId="0DF931AB" w:rsidR="00E940B0" w:rsidRDefault="00E940B0" w:rsidP="00284853">
            <w:pPr>
              <w:ind w:left="144"/>
            </w:pPr>
            <w:proofErr w:type="spellStart"/>
            <w:r w:rsidRPr="00E940B0">
              <w:t>SessionDurationMinutes</w:t>
            </w:r>
            <w:proofErr w:type="spellEnd"/>
          </w:p>
        </w:tc>
        <w:tc>
          <w:tcPr>
            <w:tcW w:w="6475" w:type="dxa"/>
          </w:tcPr>
          <w:p w14:paraId="02B56D95" w14:textId="740BBDC9" w:rsidR="00E940B0" w:rsidRDefault="000C4469" w:rsidP="00932093">
            <w:pPr>
              <w:ind w:left="0"/>
            </w:pPr>
            <w:r>
              <w:t>The duration of the user session in whole minutes. Will logout a user if there has been no activity within the duration.</w:t>
            </w:r>
          </w:p>
        </w:tc>
      </w:tr>
      <w:tr w:rsidR="00E940B0" w14:paraId="7496D62E" w14:textId="77777777" w:rsidTr="000C4469">
        <w:tc>
          <w:tcPr>
            <w:tcW w:w="3595" w:type="dxa"/>
          </w:tcPr>
          <w:p w14:paraId="420C75BE" w14:textId="6E7E3A3C" w:rsidR="00E940B0" w:rsidRDefault="000C4469" w:rsidP="00284853">
            <w:pPr>
              <w:ind w:left="144"/>
            </w:pPr>
            <w:proofErr w:type="spellStart"/>
            <w:r w:rsidRPr="000C4469">
              <w:t>SessionWarningMinutes</w:t>
            </w:r>
            <w:proofErr w:type="spellEnd"/>
          </w:p>
        </w:tc>
        <w:tc>
          <w:tcPr>
            <w:tcW w:w="6475" w:type="dxa"/>
          </w:tcPr>
          <w:p w14:paraId="730DD44F" w14:textId="706AB9D6" w:rsidR="00E940B0" w:rsidRDefault="000C4469" w:rsidP="00932093">
            <w:pPr>
              <w:ind w:left="0"/>
            </w:pPr>
            <w:r>
              <w:t>The duration prior to session ending that a warning should be shown to the user. The warning dialog will provide an opportunity for the user to refresh their session.</w:t>
            </w:r>
          </w:p>
        </w:tc>
      </w:tr>
      <w:tr w:rsidR="00E002F9" w14:paraId="76D96DFD" w14:textId="77777777" w:rsidTr="0023539D">
        <w:tc>
          <w:tcPr>
            <w:tcW w:w="10070" w:type="dxa"/>
            <w:gridSpan w:val="2"/>
            <w:shd w:val="clear" w:color="auto" w:fill="F2F2F2" w:themeFill="background1" w:themeFillShade="F2"/>
          </w:tcPr>
          <w:p w14:paraId="4DE5757F" w14:textId="1CC180EA" w:rsidR="00E002F9" w:rsidRDefault="00E002F9" w:rsidP="00284853">
            <w:pPr>
              <w:spacing w:before="240" w:after="240"/>
              <w:ind w:left="0"/>
            </w:pPr>
            <w:proofErr w:type="spellStart"/>
            <w:r>
              <w:t>Serilog</w:t>
            </w:r>
            <w:proofErr w:type="spellEnd"/>
          </w:p>
        </w:tc>
      </w:tr>
      <w:tr w:rsidR="00E002F9" w14:paraId="18B70085" w14:textId="77777777" w:rsidTr="00E002F9">
        <w:tc>
          <w:tcPr>
            <w:tcW w:w="10070" w:type="dxa"/>
            <w:gridSpan w:val="2"/>
          </w:tcPr>
          <w:p w14:paraId="3EE600BC" w14:textId="5C8056F4" w:rsidR="00E002F9" w:rsidRDefault="00900DD9" w:rsidP="00932093">
            <w:pPr>
              <w:ind w:left="0"/>
            </w:pPr>
            <w:r>
              <w:lastRenderedPageBreak/>
              <w:t xml:space="preserve">Logging configuration settings, not recommended to change. Logging is configured by default to store in the DMCS database, any configuration in this section is additional and overrides. Refer to </w:t>
            </w:r>
            <w:proofErr w:type="spellStart"/>
            <w:r>
              <w:t>Serilog</w:t>
            </w:r>
            <w:proofErr w:type="spellEnd"/>
            <w:r>
              <w:t xml:space="preserve"> documentation for setting values.</w:t>
            </w:r>
            <w:r>
              <w:br/>
              <w:t xml:space="preserve">See: </w:t>
            </w:r>
            <w:hyperlink r:id="rId13" w:history="1">
              <w:proofErr w:type="spellStart"/>
              <w:r w:rsidRPr="00900DD9">
                <w:rPr>
                  <w:rStyle w:val="Hyperlink"/>
                </w:rPr>
                <w:t>Serilog</w:t>
              </w:r>
              <w:proofErr w:type="spellEnd"/>
              <w:r w:rsidRPr="00900DD9">
                <w:rPr>
                  <w:rStyle w:val="Hyperlink"/>
                </w:rPr>
                <w:t xml:space="preserve"> — simple .NET logging with fully-structured events</w:t>
              </w:r>
            </w:hyperlink>
          </w:p>
        </w:tc>
      </w:tr>
      <w:tr w:rsidR="00E002F9" w14:paraId="0AC0D20D" w14:textId="77777777" w:rsidTr="000C4469">
        <w:tc>
          <w:tcPr>
            <w:tcW w:w="3595" w:type="dxa"/>
            <w:shd w:val="clear" w:color="auto" w:fill="F2F2F2" w:themeFill="background1" w:themeFillShade="F2"/>
          </w:tcPr>
          <w:p w14:paraId="1DF94D9A" w14:textId="7EDC8A20" w:rsidR="00E002F9" w:rsidRDefault="00E002F9" w:rsidP="00284853">
            <w:pPr>
              <w:spacing w:before="240" w:after="240"/>
              <w:ind w:left="0"/>
            </w:pPr>
            <w:proofErr w:type="spellStart"/>
            <w:r>
              <w:t>AllowedHosts</w:t>
            </w:r>
            <w:proofErr w:type="spellEnd"/>
          </w:p>
        </w:tc>
        <w:tc>
          <w:tcPr>
            <w:tcW w:w="6475" w:type="dxa"/>
          </w:tcPr>
          <w:p w14:paraId="4FC9C614" w14:textId="3E2CB62B" w:rsidR="00E002F9" w:rsidRDefault="00900DD9" w:rsidP="00932093">
            <w:pPr>
              <w:ind w:left="0"/>
            </w:pPr>
            <w:r>
              <w:t>A comma delimited list of hostnames allowed to access the application. Default is “*” which allows for all non-empty hostnames. Not recommended to change.</w:t>
            </w:r>
            <w:r>
              <w:br/>
              <w:t xml:space="preserve">See: </w:t>
            </w:r>
            <w:hyperlink r:id="rId14" w:history="1">
              <w:proofErr w:type="spellStart"/>
              <w:r w:rsidRPr="00900DD9">
                <w:rPr>
                  <w:rStyle w:val="Hyperlink"/>
                </w:rPr>
                <w:t>HostFilteringOptions.AllowedHosts</w:t>
              </w:r>
              <w:proofErr w:type="spellEnd"/>
              <w:r w:rsidRPr="00900DD9">
                <w:rPr>
                  <w:rStyle w:val="Hyperlink"/>
                </w:rPr>
                <w:t xml:space="preserve"> Property (</w:t>
              </w:r>
              <w:proofErr w:type="spellStart"/>
              <w:r w:rsidRPr="00900DD9">
                <w:rPr>
                  <w:rStyle w:val="Hyperlink"/>
                </w:rPr>
                <w:t>Microsoft.AspNetCore.HostFiltering</w:t>
              </w:r>
              <w:proofErr w:type="spellEnd"/>
              <w:r w:rsidRPr="00900DD9">
                <w:rPr>
                  <w:rStyle w:val="Hyperlink"/>
                </w:rPr>
                <w:t>) | Microsoft Docs</w:t>
              </w:r>
            </w:hyperlink>
          </w:p>
        </w:tc>
      </w:tr>
    </w:tbl>
    <w:p w14:paraId="4A36CA9D" w14:textId="77777777" w:rsidR="00932093" w:rsidRPr="0041428F" w:rsidRDefault="00932093" w:rsidP="00932093"/>
    <w:sectPr w:rsidR="00932093" w:rsidRPr="0041428F" w:rsidSect="000E371F">
      <w:headerReference w:type="first" r:id="rId15"/>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8D8" w14:textId="77777777" w:rsidR="001105CF" w:rsidRDefault="001105CF" w:rsidP="00A66B18">
      <w:pPr>
        <w:spacing w:before="0" w:after="0"/>
      </w:pPr>
      <w:r>
        <w:separator/>
      </w:r>
    </w:p>
  </w:endnote>
  <w:endnote w:type="continuationSeparator" w:id="0">
    <w:p w14:paraId="20242914" w14:textId="77777777" w:rsidR="001105CF" w:rsidRDefault="001105C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976C4" w14:textId="77777777" w:rsidR="001105CF" w:rsidRDefault="001105CF" w:rsidP="00A66B18">
      <w:pPr>
        <w:spacing w:before="0" w:after="0"/>
      </w:pPr>
      <w:r>
        <w:separator/>
      </w:r>
    </w:p>
  </w:footnote>
  <w:footnote w:type="continuationSeparator" w:id="0">
    <w:p w14:paraId="48794B1D" w14:textId="77777777" w:rsidR="001105CF" w:rsidRDefault="001105C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F13CF" w14:textId="25D70A3D" w:rsidR="000E371F" w:rsidRDefault="000E371F">
    <w:pPr>
      <w:pStyle w:val="Header"/>
    </w:pPr>
    <w:r w:rsidRPr="0041428F">
      <w:rPr>
        <w:noProof/>
      </w:rPr>
      <mc:AlternateContent>
        <mc:Choice Requires="wpg">
          <w:drawing>
            <wp:anchor distT="0" distB="0" distL="114300" distR="114300" simplePos="0" relativeHeight="251659264" behindDoc="1" locked="0" layoutInCell="1" allowOverlap="1" wp14:anchorId="45B07D02" wp14:editId="41E7CEEA">
              <wp:simplePos x="0" y="0"/>
              <wp:positionH relativeFrom="margin">
                <wp:align>center</wp:align>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6D51D" id="Graphic 17" o:spid="_x0000_s1026" alt="Curved accent shapes that collectively build the header design" style="position:absolute;margin-left:0;margin-top:-36pt;width:649.5pt;height:238.6pt;z-index:-251657216;mso-position-horizontal:center;mso-position-horizontal-relative:margin;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WF1/buAAAAAJAQAADwAAAGRycy9kb3ducmV2LnhtbEyPQU/C&#10;QBCF7yb+h82YeINtqyjUbgkh6omQCCbE29Ad2obubtNd2vLvHU56e5P38uZ72XI0jeip87WzCuJp&#10;BIJs4XRtSwXf+4/JHIQPaDU2zpKCK3lY5vd3GabaDfaL+l0oBZdYn6KCKoQ2ldIXFRn0U9eSZe/k&#10;OoOBz66UusOBy00jkyh6kQZryx8qbGldUXHeXYyCzwGH1VP83m/Op/X1Zz/bHjYxKfX4MK7eQAQa&#10;w18YbviMDjkzHd3Fai8aBTwkKJi8JixudrJYsDoqeI5mCcg8k/8X5L8AAAD//wMAUEsBAi0AFAAG&#10;AAgAAAAhALaDOJL+AAAA4QEAABMAAAAAAAAAAAAAAAAAAAAAAFtDb250ZW50X1R5cGVzXS54bWxQ&#10;SwECLQAUAAYACAAAACEAOP0h/9YAAACUAQAACwAAAAAAAAAAAAAAAAAvAQAAX3JlbHMvLnJlbHNQ&#10;SwECLQAUAAYACAAAACEA+nDDqCQIAACZKAAADgAAAAAAAAAAAAAAAAAuAgAAZHJzL2Uyb0RvYy54&#10;bWxQSwECLQAUAAYACAAAACEAWF1/buAAAAAJ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23EF8"/>
    <w:multiLevelType w:val="hybridMultilevel"/>
    <w:tmpl w:val="3E628CF4"/>
    <w:lvl w:ilvl="0" w:tplc="9D1A6A8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91"/>
    <w:rsid w:val="000436EF"/>
    <w:rsid w:val="00083BAA"/>
    <w:rsid w:val="000C4469"/>
    <w:rsid w:val="000E371F"/>
    <w:rsid w:val="0010680C"/>
    <w:rsid w:val="001105CF"/>
    <w:rsid w:val="00152B0B"/>
    <w:rsid w:val="001766D6"/>
    <w:rsid w:val="00192419"/>
    <w:rsid w:val="001C270D"/>
    <w:rsid w:val="001E2320"/>
    <w:rsid w:val="00214E28"/>
    <w:rsid w:val="0023539D"/>
    <w:rsid w:val="00284853"/>
    <w:rsid w:val="002929B9"/>
    <w:rsid w:val="00352B81"/>
    <w:rsid w:val="00394757"/>
    <w:rsid w:val="003A0150"/>
    <w:rsid w:val="003E24DF"/>
    <w:rsid w:val="0041428F"/>
    <w:rsid w:val="00453829"/>
    <w:rsid w:val="004A2B0D"/>
    <w:rsid w:val="005C2210"/>
    <w:rsid w:val="00615018"/>
    <w:rsid w:val="0062123A"/>
    <w:rsid w:val="00646E75"/>
    <w:rsid w:val="006F6F10"/>
    <w:rsid w:val="00783E79"/>
    <w:rsid w:val="007B5AE8"/>
    <w:rsid w:val="007F5192"/>
    <w:rsid w:val="008D19AD"/>
    <w:rsid w:val="00900DD9"/>
    <w:rsid w:val="00932093"/>
    <w:rsid w:val="00A26FE7"/>
    <w:rsid w:val="00A66B18"/>
    <w:rsid w:val="00A6783B"/>
    <w:rsid w:val="00A96CF8"/>
    <w:rsid w:val="00AA089B"/>
    <w:rsid w:val="00AE1388"/>
    <w:rsid w:val="00AF3982"/>
    <w:rsid w:val="00B01FDF"/>
    <w:rsid w:val="00B07391"/>
    <w:rsid w:val="00B50294"/>
    <w:rsid w:val="00B57D6E"/>
    <w:rsid w:val="00BC0FDB"/>
    <w:rsid w:val="00C701F7"/>
    <w:rsid w:val="00C70786"/>
    <w:rsid w:val="00D10958"/>
    <w:rsid w:val="00D525B5"/>
    <w:rsid w:val="00D66593"/>
    <w:rsid w:val="00D71C46"/>
    <w:rsid w:val="00DE6DA2"/>
    <w:rsid w:val="00DF2D30"/>
    <w:rsid w:val="00E002F9"/>
    <w:rsid w:val="00E4786A"/>
    <w:rsid w:val="00E55D74"/>
    <w:rsid w:val="00E6540C"/>
    <w:rsid w:val="00E81E2A"/>
    <w:rsid w:val="00E940B0"/>
    <w:rsid w:val="00EE0952"/>
    <w:rsid w:val="00F351C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0508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Title">
    <w:name w:val="Title"/>
    <w:basedOn w:val="Normal"/>
    <w:next w:val="Normal"/>
    <w:link w:val="TitleChar"/>
    <w:uiPriority w:val="10"/>
    <w:qFormat/>
    <w:rsid w:val="00B07391"/>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073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rsid w:val="000E371F"/>
    <w:pPr>
      <w:contextualSpacing/>
    </w:pPr>
  </w:style>
  <w:style w:type="character" w:styleId="Hyperlink">
    <w:name w:val="Hyperlink"/>
    <w:basedOn w:val="DefaultParagraphFont"/>
    <w:uiPriority w:val="99"/>
    <w:unhideWhenUsed/>
    <w:rsid w:val="00D525B5"/>
    <w:rPr>
      <w:color w:val="F49100" w:themeColor="hyperlink"/>
      <w:u w:val="single"/>
    </w:rPr>
  </w:style>
  <w:style w:type="character" w:styleId="UnresolvedMention">
    <w:name w:val="Unresolved Mention"/>
    <w:basedOn w:val="DefaultParagraphFont"/>
    <w:uiPriority w:val="99"/>
    <w:semiHidden/>
    <w:rsid w:val="00D525B5"/>
    <w:rPr>
      <w:color w:val="605E5C"/>
      <w:shd w:val="clear" w:color="auto" w:fill="E1DFDD"/>
    </w:rPr>
  </w:style>
  <w:style w:type="table" w:styleId="TableGrid">
    <w:name w:val="Table Grid"/>
    <w:basedOn w:val="TableNormal"/>
    <w:uiPriority w:val="39"/>
    <w:rsid w:val="00932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rilog.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tnet.microsoft.com/download/dotnet/3.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api/microsoft.aspnetcore.hostfiltering.hostfilteringoptions.allowedhosts?view=aspnetcore-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AppData\Local\Microsoft\Office\16.0\DTS\en-US%7b9E220913-996B-445B-9CFF-921CA338F809%7d\%7b40F56BF7-518F-4869-B929-8552DED77B7D%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772E78-8ACF-4DBF-94C9-5EA623620EEB}">
  <ds:schemaRefs>
    <ds:schemaRef ds:uri="http://schemas.openxmlformats.org/officeDocument/2006/bibliography"/>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{40F56BF7-518F-4869-B929-8552DED77B7D}tf56348247_win32.dotx</Template>
  <TotalTime>0</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2021-09-17T15:00:00Z</dcterms:created>
  <dcterms:modified xsi:type="dcterms:W3CDTF">2022-01-25T14:47:00Z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