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" w:before="120"/>
        <w:jc w:val="left"/>
      </w:pPr>
      <w:r>
        <w:drawing>
          <wp:inline distT="0" distB="0" distL="0" distR="0">
            <wp:extent cx="2857500" cy="1219200"/>
            <wp:effectExtent t="0" r="0" b="0" l="0"/>
            <wp:docPr id="1" name="logo" descr="Logo Ostoi" title="Logo Ost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0"/>
      </w:pPr>
      <w:r>
        <w:rPr>
          <w:rFonts w:ascii="Georgia" w:cs="Georgia" w:eastAsia="Georgia" w:hAnsi="Georgia"/>
          <w:color w:val="1E2422"/>
          <w:sz w:val="64"/>
          <w:szCs w:val="64"/>
        </w:rPr>
        <w:t xml:space="preserve">Identyfikacja wizualna</w:t>
      </w:r>
    </w:p>
    <w:p>
      <w:pPr>
        <w:spacing w:after="600"/>
      </w:pPr>
      <w:r>
        <w:rPr>
          <w:rFonts w:ascii="Arial" w:cs="Arial" w:eastAsia="Arial" w:hAnsi="Arial"/>
          <w:color w:val="5C6461"/>
          <w:sz w:val="26"/>
          <w:szCs w:val="26"/>
        </w:rPr>
        <w:t xml:space="preserve">Księga znaku, kolor, typografia, ton i zastosowania</w:t>
      </w:r>
    </w:p>
    <w:p>
      <w:pPr>
        <w:spacing w:after="140" w:line="312"/>
      </w:pPr>
      <w:r>
        <w:rPr>
          <w:rFonts w:ascii="Arial" w:cs="Arial" w:eastAsia="Arial" w:hAnsi="Arial"/>
          <w:color w:val="1E2422"/>
          <w:sz w:val="22"/>
          <w:szCs w:val="22"/>
        </w:rPr>
        <w:t xml:space="preserve">Ostoja łączy rodziny organizujące pogrzeb z zakładami pogrzebowymi. Marka ma dawać to, co obiecuje jej nazwa: oparcie i spokojne miejsce w trudnym tygodniu. Wygląd jest cichy, rzeczowy i ciepły bez czułostkowości. Kolory są złamane szarością, kształty proste, a jedynym wyrazistym elementem jest znak.</w:t>
      </w:r>
    </w:p>
    <w:p>
      <w:pPr>
        <w:spacing w:before="1600"/>
      </w:pPr>
      <w:r>
        <w:rPr>
          <w:rFonts w:ascii="Arial" w:cs="Arial" w:eastAsia="Arial" w:hAnsi="Arial"/>
          <w:color w:val="5C6461"/>
          <w:sz w:val="18"/>
          <w:szCs w:val="18"/>
        </w:rPr>
        <w:t xml:space="preserve">Wersja 1.0 · październik 2026</w:t>
      </w:r>
    </w:p>
    <w:p>
      <w:r>
        <w:rPr>
          <w:rFonts w:ascii="Arial" w:cs="Arial" w:eastAsia="Arial" w:hAnsi="Arial"/>
          <w:color w:val="5C6461"/>
          <w:sz w:val="18"/>
          <w:szCs w:val="18"/>
        </w:rPr>
        <w:t xml:space="preserve">Pliki znaku: </w:t>
      </w:r>
      <w:r>
        <w:rPr>
          <w:rFonts w:ascii="Consolas" w:cs="Consolas" w:eastAsia="Consolas" w:hAnsi="Consolas"/>
          <w:color w:val="3F5650"/>
          <w:sz w:val="16"/>
          <w:szCs w:val="16"/>
        </w:rPr>
        <w:t xml:space="preserve">public/brand/</w:t>
      </w:r>
      <w:r>
        <w:rPr>
          <w:rFonts w:ascii="Arial" w:cs="Arial" w:eastAsia="Arial" w:hAnsi="Arial"/>
          <w:color w:val="5C6461"/>
          <w:sz w:val="18"/>
          <w:szCs w:val="18"/>
        </w:rPr>
        <w:t xml:space="preserve"> w repozytorium Ostoi (generuje je </w:t>
      </w:r>
      <w:r>
        <w:rPr>
          <w:rFonts w:ascii="Consolas" w:cs="Consolas" w:eastAsia="Consolas" w:hAnsi="Consolas"/>
          <w:color w:val="3F5650"/>
          <w:sz w:val="16"/>
          <w:szCs w:val="16"/>
        </w:rPr>
        <w:t xml:space="preserve">scripts/brand/build_logo.py</w:t>
      </w:r>
      <w:r>
        <w:rPr>
          <w:rFonts w:ascii="Arial" w:cs="Arial" w:eastAsia="Arial" w:hAnsi="Arial"/>
          <w:color w:val="5C6461"/>
          <w:sz w:val="18"/>
          <w:szCs w:val="18"/>
        </w:rPr>
        <w:t xml:space="preserve">). Tokeny w kodzie: </w:t>
      </w:r>
      <w:r>
        <w:rPr>
          <w:rFonts w:ascii="Consolas" w:cs="Consolas" w:eastAsia="Consolas" w:hAnsi="Consolas"/>
          <w:color w:val="3F5650"/>
          <w:sz w:val="16"/>
          <w:szCs w:val="16"/>
        </w:rPr>
        <w:t xml:space="preserve">docs/design-system.md</w:t>
      </w:r>
      <w:r>
        <w:rPr>
          <w:rFonts w:ascii="Arial" w:cs="Arial" w:eastAsia="Arial" w:hAnsi="Arial"/>
          <w:color w:val="5C6461"/>
          <w:sz w:val="18"/>
          <w:szCs w:val="18"/>
        </w:rPr>
        <w:t xml:space="preserve">.</w:t>
      </w:r>
    </w:p>
    <w:p>
      <w:pPr>
        <w:pStyle w:val="Heading1"/>
        <w:keepNext/>
        <w:pageBreakBefore/>
      </w:pPr>
      <w:r>
        <w:rPr>
          <w:color w:val="A68B5B"/>
        </w:rPr>
        <w:t xml:space="preserve">1  </w:t>
      </w:r>
      <w:r>
        <w:t xml:space="preserve">Idea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Brama i droga.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Znak to dwie bramy, jedna za drugą, i prosta droga w ich osi. Droga zaczyna się na progu i prowadzi w głąb. To ostatnia droga, którą rodzina przechodzi razem z bliską osobą, i miejsce, w którym ktoś na nią czeka.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Trzy cechy: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spokój (dużo światła, mało elementów), jasność (pełne ceny, proste zdania, jedna decyzja na ekran), opieka (zawsze widać, do kogo zadzwonić).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Czego unikamy: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czerni i lilii z nekrologów, złota i ornamentów, uśmiechniętych ludzi ze zdjęć stockowych, języka sprzedaży.</w:t>
      </w:r>
    </w:p>
    <w:p>
      <w:pPr>
        <w:pStyle w:val="Heading1"/>
        <w:keepNext/>
        <w:spacing w:after="240" w:before="480"/>
      </w:pPr>
      <w:r>
        <w:rPr>
          <w:color w:val="A68B5B"/>
        </w:rPr>
        <w:t xml:space="preserve">2  </w:t>
      </w:r>
      <w:r>
        <w:t xml:space="preserve">Znak i logo</w:t>
      </w:r>
    </w:p>
    <w:p>
      <w:pPr>
        <w:pStyle w:val="Heading2"/>
        <w:keepNext/>
      </w:pPr>
      <w:r>
        <w:t xml:space="preserve">Koncepcja</w:t>
      </w:r>
    </w:p>
    <w:p>
      <w:pPr>
        <w:spacing w:after="140" w:line="312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Znak „Brama i droga” to dwie bramy, jedna za drugą, i prosta droga w osi symetrii. Zewnętrzny łuk (szałwia) to ostoja: schronienie i próg. Wewnętrzny, cieńszy łuk daje głębię – kolejny próg dalej, jak w perspektywie korytarza albo alei. Linia drogi (piasek) zaczyna się na progu i prowadzi w głąb – to ostatnia droga. Znak jest symetryczny, zbudowany z trzech linii o zaokrąglonych końcach i tych samych grubości co interfejs. Do 24 px używamy wersji małej, bez wewnętrznej bramy, żeby znak nie zlewał się w plamę.</w:t>
      </w:r>
    </w:p>
    <w:p>
      <w:pPr>
        <w:pStyle w:val="Heading2"/>
        <w:keepNext/>
      </w:pPr>
      <w:r>
        <w:t xml:space="preserve">Konstrukcja (siatka 32 × 32)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before="120"/>
              <w:jc w:val="left"/>
            </w:pPr>
            <w:r>
              <w:drawing>
                <wp:inline distT="0" distB="0" distL="0" distR="0">
                  <wp:extent cx="1619250" cy="1619250"/>
                  <wp:effectExtent t="0" r="0" b="0" l="0"/>
                  <wp:docPr id="1" name="znak" descr="Znak – od 25 px" title="Znak – od 25 p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/>
            </w:pPr>
            <w:r>
              <w:rPr>
                <w:rFonts w:ascii="Arial" w:cs="Arial" w:eastAsia="Arial" w:hAnsi="Arial"/>
                <w:color w:val="5C6461"/>
                <w:sz w:val="17"/>
                <w:szCs w:val="17"/>
              </w:rPr>
              <w:t xml:space="preserve">Znak – od 25 px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120"/>
              <w:jc w:val="left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znak-maly" descr="Wersja mała – 16–24 px" title="Wersja mała – 16–24 p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/>
            </w:pPr>
            <w:r>
              <w:rPr>
                <w:rFonts w:ascii="Arial" w:cs="Arial" w:eastAsia="Arial" w:hAnsi="Arial"/>
                <w:color w:val="5C6461"/>
                <w:sz w:val="17"/>
                <w:szCs w:val="17"/>
              </w:rPr>
              <w:t xml:space="preserve">Wersja mała – 16–24 px</w:t>
            </w:r>
          </w:p>
        </w:tc>
      </w:tr>
    </w:tbl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1900"/>
        <w:gridCol w:w="3600"/>
        <w:gridCol w:w="2000"/>
        <w:gridCol w:w="2138"/>
      </w:tblGrid>
      <w:tr>
        <w:trPr>
          <w:tblHeader/>
        </w:trPr>
        <w:tc>
          <w:tcPr>
            <w:tcW w:type="dxa" w:w="1900"/>
            <w:shd w:fill="E6EA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3F5650"/>
                <w:sz w:val="18"/>
                <w:szCs w:val="18"/>
              </w:rPr>
              <w:t xml:space="preserve">Element</w:t>
            </w:r>
          </w:p>
        </w:tc>
        <w:tc>
          <w:tcPr>
            <w:tcW w:type="dxa" w:w="3600"/>
            <w:shd w:fill="E6EA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3F5650"/>
                <w:sz w:val="18"/>
                <w:szCs w:val="18"/>
              </w:rPr>
              <w:t xml:space="preserve">Geometria</w:t>
            </w:r>
          </w:p>
        </w:tc>
        <w:tc>
          <w:tcPr>
            <w:tcW w:type="dxa" w:w="2000"/>
            <w:shd w:fill="E6EA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3F5650"/>
                <w:sz w:val="18"/>
                <w:szCs w:val="18"/>
              </w:rPr>
              <w:t xml:space="preserve">Grubość</w:t>
            </w:r>
          </w:p>
        </w:tc>
        <w:tc>
          <w:tcPr>
            <w:tcW w:type="dxa" w:w="2138"/>
            <w:shd w:fill="E6EA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3F5650"/>
                <w:sz w:val="18"/>
                <w:szCs w:val="18"/>
              </w:rPr>
              <w:t xml:space="preserve">Kolor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Brama zewnętrzna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półkole o promieniu 9,75 w osi x = 16, nogi do y = 28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2,5, zakończenia zaokrąglone</w:t>
            </w:r>
          </w:p>
        </w:tc>
        <w:tc>
          <w:tcPr>
            <w:tcW w:type="dxa" w:w="2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brand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#3F5650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Brama wewnętrzna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półkole o promieniu 5 w osi x = 16, nogi do y = 28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1,6</w:t>
            </w:r>
          </w:p>
        </w:tc>
        <w:tc>
          <w:tcPr>
            <w:tcW w:type="dxa" w:w="2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brand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#3F5650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Droga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pionowa linia x = 16 od y = 21 do y = 28 (próg)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2,2</w:t>
            </w:r>
          </w:p>
        </w:tc>
        <w:tc>
          <w:tcPr>
            <w:tcW w:type="dxa" w:w="2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sand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#A68B5B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Wersja mała (≤ 24 px)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tylko brama zewnętrzna (promień 10, grubość 3,4) i droga od 18 do 28,5 (grubość 3)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</w:p>
        </w:tc>
        <w:tc>
          <w:tcPr>
            <w:tcW w:type="dxa" w:w="2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jak wyżej</w:t>
            </w:r>
          </w:p>
        </w:tc>
      </w:tr>
    </w:tbl>
    <w:p>
      <w:pPr>
        <w:spacing w:after="120"/>
      </w:pPr>
    </w:p>
    <w:p>
      <w:pPr>
        <w:spacing w:after="140" w:line="312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Napis „Ostoja” to Newsreader 500 (rozmiar optyczny 48) zamieniony na krzywe. Wysokość wersalików = 0,56 wysokości znaku, odstęp znak–napis = 9/32 wysokości znaku, linia bazowa napisu na wysokości podstawy łuku. Pliki generuje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scripts/brand/build_logo.py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w repozytorium – zmiany w znaku wprowadzaj tylko tam.</w:t>
      </w:r>
    </w:p>
    <w:p>
      <w:pPr>
        <w:pStyle w:val="Heading2"/>
        <w:keepNext/>
      </w:pPr>
      <w:r>
        <w:t xml:space="preserve">Wersje i pliki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before="120"/>
              <w:jc w:val="left"/>
            </w:pPr>
            <w:r>
              <w:drawing>
                <wp:inline distT="0" distB="0" distL="0" distR="0">
                  <wp:extent cx="2857500" cy="1219200"/>
                  <wp:effectExtent t="0" r="0" b="0" l="0"/>
                  <wp:docPr id="1" name="logo" descr="Logo poziome – wersja podstawowa" title="Logo poziome – wersja podstawow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/>
            </w:pPr>
            <w:r>
              <w:rPr>
                <w:rFonts w:ascii="Arial" w:cs="Arial" w:eastAsia="Arial" w:hAnsi="Arial"/>
                <w:color w:val="5C6461"/>
                <w:sz w:val="17"/>
                <w:szCs w:val="17"/>
              </w:rPr>
              <w:t xml:space="preserve">Logo poziome – wersja podstawowa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120"/>
              <w:jc w:val="left"/>
            </w:pPr>
            <w:r>
              <w:drawing>
                <wp:inline distT="0" distB="0" distL="0" distR="0">
                  <wp:extent cx="1905000" cy="1619250"/>
                  <wp:effectExtent t="0" r="0" b="0" l="0"/>
                  <wp:docPr id="1" name="logo-pionowe" descr="Logo pionowe" title="Logo pionow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/>
            </w:pPr>
            <w:r>
              <w:rPr>
                <w:rFonts w:ascii="Arial" w:cs="Arial" w:eastAsia="Arial" w:hAnsi="Arial"/>
                <w:color w:val="5C6461"/>
                <w:sz w:val="17"/>
                <w:szCs w:val="17"/>
              </w:rPr>
              <w:t xml:space="preserve">Logo pionowe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before="120"/>
              <w:jc w:val="left"/>
            </w:pPr>
            <w:r>
              <w:drawing>
                <wp:inline distT="0" distB="0" distL="0" distR="0">
                  <wp:extent cx="2857500" cy="1219200"/>
                  <wp:effectExtent t="0" r="0" b="0" l="0"/>
                  <wp:docPr id="1" name="logo-ciemne-tlo" descr="Na ciemne tło (night, brand)" title="Na ciemne tło (night, bra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/>
            </w:pPr>
            <w:r>
              <w:rPr>
                <w:rFonts w:ascii="Arial" w:cs="Arial" w:eastAsia="Arial" w:hAnsi="Arial"/>
                <w:color w:val="5C6461"/>
                <w:sz w:val="17"/>
                <w:szCs w:val="17"/>
              </w:rPr>
              <w:t xml:space="preserve">Na ciemne tło (night, brand)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120"/>
              <w:jc w:val="left"/>
            </w:pPr>
            <w:r>
              <w:drawing>
                <wp:inline distT="0" distB="0" distL="0" distR="0">
                  <wp:extent cx="2857500" cy="1219200"/>
                  <wp:effectExtent t="0" r="0" b="0" l="0"/>
                  <wp:docPr id="1" name="logo-czarne" descr="Jednobarwne czarne" title="Jednobarwne czar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/>
            </w:pPr>
            <w:r>
              <w:rPr>
                <w:rFonts w:ascii="Arial" w:cs="Arial" w:eastAsia="Arial" w:hAnsi="Arial"/>
                <w:color w:val="5C6461"/>
                <w:sz w:val="17"/>
                <w:szCs w:val="17"/>
              </w:rPr>
              <w:t xml:space="preserve">Jednobarwne czarne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0" w:before="120"/>
              <w:jc w:val="left"/>
            </w:pPr>
            <w:r>
              <w:drawing>
                <wp:inline distT="0" distB="0" distL="0" distR="0">
                  <wp:extent cx="2857500" cy="1219200"/>
                  <wp:effectExtent t="0" r="0" b="0" l="0"/>
                  <wp:docPr id="1" name="logo-biale" descr="Jednobarwne białe" title="Jednobarwne biał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/>
            </w:pPr>
            <w:r>
              <w:rPr>
                <w:rFonts w:ascii="Arial" w:cs="Arial" w:eastAsia="Arial" w:hAnsi="Arial"/>
                <w:color w:val="5C6461"/>
                <w:sz w:val="17"/>
                <w:szCs w:val="17"/>
              </w:rPr>
              <w:t xml:space="preserve">Jednobarwne białe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120"/>
              <w:jc w:val="left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ikona-aplikacji" descr="Ikona aplikacji" title="Ikona aplikacj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/>
            </w:pPr>
            <w:r>
              <w:rPr>
                <w:rFonts w:ascii="Arial" w:cs="Arial" w:eastAsia="Arial" w:hAnsi="Arial"/>
                <w:color w:val="5C6461"/>
                <w:sz w:val="17"/>
                <w:szCs w:val="17"/>
              </w:rPr>
              <w:t xml:space="preserve">Ikona aplikacji</w:t>
            </w:r>
          </w:p>
        </w:tc>
      </w:tr>
    </w:tbl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shd w:fill="E6EA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3F5650"/>
                <w:sz w:val="18"/>
                <w:szCs w:val="18"/>
              </w:rPr>
              <w:t xml:space="preserve">Plik</w:t>
            </w:r>
          </w:p>
        </w:tc>
        <w:tc>
          <w:tcPr>
            <w:tcW w:type="dxa" w:w="5738"/>
            <w:shd w:fill="E6EA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3F5650"/>
                <w:sz w:val="18"/>
                <w:szCs w:val="18"/>
              </w:rPr>
              <w:t xml:space="preserve">Kiedy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ostoja-logo.svg</w:t>
            </w:r>
          </w:p>
        </w:tc>
        <w:tc>
          <w:tcPr>
            <w:tcW w:type="dxa" w:w="57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podstawowa: na </w:t>
            </w: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ground-family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ground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, bieli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ostoja-logo-pionowe.svg</w:t>
            </w:r>
          </w:p>
        </w:tc>
        <w:tc>
          <w:tcPr>
            <w:tcW w:type="dxa" w:w="57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stopki dokumentów, naklejki, pieczątki, kwadratowe formaty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ostoja-logo-ciemne-tlo.svg</w:t>
            </w:r>
          </w:p>
        </w:tc>
        <w:tc>
          <w:tcPr>
            <w:tcW w:type="dxa" w:w="57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na </w:t>
            </w: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night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i </w:t>
            </w: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brand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: łuk i napis #E4E7E5, droga </w:t>
            </w: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sand-light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ostoja-logo-czarne.svg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ostoja-logo-biale.svg</w:t>
            </w:r>
          </w:p>
        </w:tc>
        <w:tc>
          <w:tcPr>
            <w:tcW w:type="dxa" w:w="57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druk jednobarwny, grawer, faks, folia; biała – tylko na spokojnym fragmencie zdjęcia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ostoja-znak.svg</w:t>
            </w:r>
          </w:p>
        </w:tc>
        <w:tc>
          <w:tcPr>
            <w:tcW w:type="dxa" w:w="57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znak bez napisu, od 25 px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ostoja-znak-maly.svg</w:t>
            </w:r>
          </w:p>
        </w:tc>
        <w:tc>
          <w:tcPr>
            <w:tcW w:type="dxa" w:w="57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znak bez napisu, 16–24 px (ikona karty przeglądarki)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ostoja-ikona-aplikacji.svg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-512.png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-192.png</w:t>
            </w:r>
          </w:p>
        </w:tc>
        <w:tc>
          <w:tcPr>
            <w:tcW w:type="dxa" w:w="57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ikona aplikacji panelu na telefonie: znak jasny na </w:t>
            </w: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brand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Pole ochronne i rozmiary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Pole ochronne wokół logo = 1/4 wysokości znaku z każdej strony. Nic nie wchodzi w to pole: tekst, krawędź kartki, inne logo.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Minimalnie: znak 16 px (ekran) / 6 mm (druk); logo poziome 96 px szerokości / 22 mm; logo pionowe 64 px / 16 mm.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Na ekranie logo stoi przy lewej krawędzi nagłówka, wysokość znaku 30 px (strona) albo 26 px (panel, stopka).</w:t>
      </w:r>
    </w:p>
    <w:p>
      <w:pPr>
        <w:pStyle w:val="Heading2"/>
        <w:keepNext/>
      </w:pPr>
      <w:r>
        <w:t xml:space="preserve">Czego nie robić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Nie zmieniaj proporcji, grubości ani położenia drogi. Droga zawsze w osi, zawsze prosta i zawsze wychodzi przed próg.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Nie dodawaj elementów: krzyża, płomienia, gwiazdy, liścia, ptaka, horyzontu, cienia, obrysu, gradientu.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Nie zamieniaj kolorów (droga w szałwii, łuk w piasku) i nie używaj kolorów spoza palety.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Nie stawiaj pełnokolorowego logo na zdjęciu ani na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sand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– na ciemnym tle używaj wersji na ciemne tło.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Nie obracaj, nie pochylaj, nie zamykaj znaku w kółku. Ikona aplikacji to jedyny przypadek tła pod znakiem (kwadrat zaokrąglony 112/512).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Nie składaj napisu innym krojem i nie pisz „OSTOJA” wersalikami.</w:t>
      </w:r>
    </w:p>
    <w:p>
      <w:pPr>
        <w:pStyle w:val="Heading2"/>
        <w:keepNext/>
      </w:pPr>
      <w:r>
        <w:t xml:space="preserve">Znak partnera</w:t>
      </w:r>
    </w:p>
    <w:p>
      <w:pPr>
        <w:spacing w:after="60" w:before="120"/>
        <w:jc w:val="left"/>
      </w:pPr>
      <w:r>
        <w:drawing>
          <wp:inline distT="0" distB="0" distL="0" distR="0">
            <wp:extent cx="2095500" cy="2095500"/>
            <wp:effectExtent t="0" r="0" b="0" l="0"/>
            <wp:docPr id="1" name="naklejka-partnera" descr="Naklejka Partner Ostoi" title="Naklejka Partner Ost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Arial" w:cs="Arial" w:eastAsia="Arial" w:hAnsi="Arial"/>
          <w:color w:val="5C6461"/>
          <w:sz w:val="17"/>
          <w:szCs w:val="17"/>
        </w:rPr>
        <w:t xml:space="preserve">Naklejka „Partner Ostoi”, 120 × 120 mm.</w:t>
      </w:r>
    </w:p>
    <w:p>
      <w:pPr>
        <w:spacing w:after="140" w:line="312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Zakłady zweryfikowane przez Ostoję dostają naklejkę „Partner Ostoi” (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zastosowanie-naklejka-partnera.svg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120 × 120 mm): znak, napis Newsreader i jedno zdanie o zasadach. Zakład może jej używać na drzwiach, stronie i w stopce e-maila, obok własnego logo, z zachowaniem pola ochronnego. Logo Ostoi nie łączymy w jedno z logo zakładu.</w:t>
      </w:r>
    </w:p>
    <w:p>
      <w:pPr>
        <w:pStyle w:val="Heading1"/>
        <w:keepNext/>
        <w:pageBreakBefore/>
      </w:pPr>
      <w:r>
        <w:rPr>
          <w:color w:val="A68B5B"/>
        </w:rPr>
        <w:t xml:space="preserve">3  </w:t>
      </w:r>
      <w:r>
        <w:t xml:space="preserve">Kolor</w:t>
      </w:r>
    </w:p>
    <w:p>
      <w:pPr>
        <w:spacing w:after="140" w:line="312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Paleta to szałwiowa zieleń i piasek złamane szarością, na tle mgły i kamienia. Proporcje na każdym ekranie i w każdym druku: ok. 70% tła (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ground-family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ground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card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), 20% tekstu (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ink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muted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), 8% szałwii (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brand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brand-tint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), najwyżej 2% piasku (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sand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).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1500"/>
        <w:gridCol w:w="1650"/>
        <w:gridCol w:w="1250"/>
        <w:gridCol w:w="1250"/>
        <w:gridCol w:w="3988"/>
      </w:tblGrid>
      <w:tr>
        <w:trPr>
          <w:tblHeader/>
        </w:trPr>
        <w:tc>
          <w:tcPr>
            <w:tcW w:type="dxa" w:w="1500"/>
            <w:shd w:fill="E6EA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3F5650"/>
                <w:sz w:val="18"/>
                <w:szCs w:val="18"/>
              </w:rPr>
              <w:t xml:space="preserve">Nazwa</w:t>
            </w:r>
          </w:p>
        </w:tc>
        <w:tc>
          <w:tcPr>
            <w:tcW w:type="dxa" w:w="1650"/>
            <w:shd w:fill="E6EA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3F5650"/>
                <w:sz w:val="18"/>
                <w:szCs w:val="18"/>
              </w:rPr>
              <w:t xml:space="preserve">Token</w:t>
            </w:r>
          </w:p>
        </w:tc>
        <w:tc>
          <w:tcPr>
            <w:tcW w:type="dxa" w:w="1250"/>
            <w:shd w:fill="E6EA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3F5650"/>
                <w:sz w:val="18"/>
                <w:szCs w:val="18"/>
              </w:rPr>
              <w:t xml:space="preserve">Dzień</w:t>
            </w:r>
          </w:p>
        </w:tc>
        <w:tc>
          <w:tcPr>
            <w:tcW w:type="dxa" w:w="1250"/>
            <w:shd w:fill="E6EA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3F5650"/>
                <w:sz w:val="18"/>
                <w:szCs w:val="18"/>
              </w:rPr>
              <w:t xml:space="preserve">Noc</w:t>
            </w:r>
          </w:p>
        </w:tc>
        <w:tc>
          <w:tcPr>
            <w:tcW w:type="dxa" w:w="3988"/>
            <w:shd w:fill="E6EA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3F5650"/>
                <w:sz w:val="18"/>
                <w:szCs w:val="18"/>
              </w:rPr>
              <w:t xml:space="preserve">Do czego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Mgła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ground-family</w:t>
            </w:r>
          </w:p>
        </w:tc>
        <w:tc>
          <w:tcPr>
            <w:tcW w:type="dxa" w:w="1250"/>
            <w:shd w:fill="F4F4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E2422"/>
                <w:sz w:val="18"/>
                <w:szCs w:val="18"/>
              </w:rPr>
              <w:t xml:space="preserve">#F4F4F2</w:t>
            </w:r>
          </w:p>
        </w:tc>
        <w:tc>
          <w:tcPr>
            <w:tcW w:type="dxa" w:w="1250"/>
            <w:shd w:fill="171C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#171C1B</w:t>
            </w:r>
          </w:p>
        </w:tc>
        <w:tc>
          <w:tcPr>
            <w:tcW w:type="dxa" w:w="398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tło strony dla rodzin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Kamień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ground</w:t>
            </w:r>
          </w:p>
        </w:tc>
        <w:tc>
          <w:tcPr>
            <w:tcW w:type="dxa" w:w="1250"/>
            <w:shd w:fill="ECED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E2422"/>
                <w:sz w:val="18"/>
                <w:szCs w:val="18"/>
              </w:rPr>
              <w:t xml:space="preserve">#ECEDEB</w:t>
            </w:r>
          </w:p>
        </w:tc>
        <w:tc>
          <w:tcPr>
            <w:tcW w:type="dxa" w:w="1250"/>
            <w:shd w:fill="171C1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#171C1B</w:t>
            </w:r>
          </w:p>
        </w:tc>
        <w:tc>
          <w:tcPr>
            <w:tcW w:type="dxa" w:w="398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tło panelu zakładu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Biel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card</w:t>
            </w:r>
          </w:p>
        </w:tc>
        <w:tc>
          <w:tcPr>
            <w:tcW w:type="dxa" w:w="125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E2422"/>
                <w:sz w:val="18"/>
                <w:szCs w:val="18"/>
              </w:rPr>
              <w:t xml:space="preserve">#FFFFFF</w:t>
            </w:r>
          </w:p>
        </w:tc>
        <w:tc>
          <w:tcPr>
            <w:tcW w:type="dxa" w:w="1250"/>
            <w:shd w:fill="22292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#222927</w:t>
            </w:r>
          </w:p>
        </w:tc>
        <w:tc>
          <w:tcPr>
            <w:tcW w:type="dxa" w:w="398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karty i pola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Grafit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ink</w:t>
            </w:r>
          </w:p>
        </w:tc>
        <w:tc>
          <w:tcPr>
            <w:tcW w:type="dxa" w:w="1250"/>
            <w:shd w:fill="1E242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#1E2422</w:t>
            </w:r>
          </w:p>
        </w:tc>
        <w:tc>
          <w:tcPr>
            <w:tcW w:type="dxa" w:w="1250"/>
            <w:shd w:fill="E4E7E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E2422"/>
                <w:sz w:val="18"/>
                <w:szCs w:val="18"/>
              </w:rPr>
              <w:t xml:space="preserve">#E4E7E5</w:t>
            </w:r>
          </w:p>
        </w:tc>
        <w:tc>
          <w:tcPr>
            <w:tcW w:type="dxa" w:w="398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tekst główny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Popiel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muted</w:t>
            </w:r>
          </w:p>
        </w:tc>
        <w:tc>
          <w:tcPr>
            <w:tcW w:type="dxa" w:w="1250"/>
            <w:shd w:fill="5C646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#5C6461</w:t>
            </w:r>
          </w:p>
        </w:tc>
        <w:tc>
          <w:tcPr>
            <w:tcW w:type="dxa" w:w="1250"/>
            <w:shd w:fill="AEB6B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E2422"/>
                <w:sz w:val="18"/>
                <w:szCs w:val="18"/>
              </w:rPr>
              <w:t xml:space="preserve">#AEB6B2</w:t>
            </w:r>
          </w:p>
        </w:tc>
        <w:tc>
          <w:tcPr>
            <w:tcW w:type="dxa" w:w="398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tekst drugorzędny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Szałwia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brand</w:t>
            </w:r>
          </w:p>
        </w:tc>
        <w:tc>
          <w:tcPr>
            <w:tcW w:type="dxa" w:w="1250"/>
            <w:shd w:fill="3F56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#3F5650</w:t>
            </w:r>
          </w:p>
        </w:tc>
        <w:tc>
          <w:tcPr>
            <w:tcW w:type="dxa" w:w="1250"/>
            <w:shd w:fill="8FB3A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E2422"/>
                <w:sz w:val="18"/>
                <w:szCs w:val="18"/>
              </w:rPr>
              <w:t xml:space="preserve">#8FB3A6</w:t>
            </w:r>
          </w:p>
        </w:tc>
        <w:tc>
          <w:tcPr>
            <w:tcW w:type="dxa" w:w="398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przyciski, linki, łuk znaku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Szałwia jasna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brand-tint</w:t>
            </w:r>
          </w:p>
        </w:tc>
        <w:tc>
          <w:tcPr>
            <w:tcW w:type="dxa" w:w="1250"/>
            <w:shd w:fill="E6EA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E2422"/>
                <w:sz w:val="18"/>
                <w:szCs w:val="18"/>
              </w:rPr>
              <w:t xml:space="preserve">#E6EAE8</w:t>
            </w:r>
          </w:p>
        </w:tc>
        <w:tc>
          <w:tcPr>
            <w:tcW w:type="dxa" w:w="1250"/>
            <w:shd w:fill="2A343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#2A3431</w:t>
            </w:r>
          </w:p>
        </w:tc>
        <w:tc>
          <w:tcPr>
            <w:tcW w:type="dxa" w:w="398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zaznaczenie, potwierdzenie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Piasek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sand</w:t>
            </w:r>
          </w:p>
        </w:tc>
        <w:tc>
          <w:tcPr>
            <w:tcW w:type="dxa" w:w="1250"/>
            <w:shd w:fill="A68B5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E2422"/>
                <w:sz w:val="18"/>
                <w:szCs w:val="18"/>
              </w:rPr>
              <w:t xml:space="preserve">#A68B5B</w:t>
            </w:r>
          </w:p>
        </w:tc>
        <w:tc>
          <w:tcPr>
            <w:tcW w:type="dxa" w:w="1250"/>
            <w:shd w:fill="CDB98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E2422"/>
                <w:sz w:val="18"/>
                <w:szCs w:val="18"/>
              </w:rPr>
              <w:t xml:space="preserve">#CDB98F</w:t>
            </w:r>
          </w:p>
        </w:tc>
        <w:tc>
          <w:tcPr>
            <w:tcW w:type="dxa" w:w="398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linia drogi w znaku, drobne akcenty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Piasek ciemny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warn-ink</w:t>
            </w:r>
          </w:p>
        </w:tc>
        <w:tc>
          <w:tcPr>
            <w:tcW w:type="dxa" w:w="1250"/>
            <w:shd w:fill="6E5A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#6E5A33</w:t>
            </w:r>
          </w:p>
        </w:tc>
        <w:tc>
          <w:tcPr>
            <w:tcW w:type="dxa" w:w="1250"/>
            <w:shd w:fill="E2CFA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E2422"/>
                <w:sz w:val="18"/>
                <w:szCs w:val="18"/>
              </w:rPr>
              <w:t xml:space="preserve">#E2CFA6</w:t>
            </w:r>
          </w:p>
        </w:tc>
        <w:tc>
          <w:tcPr>
            <w:tcW w:type="dxa" w:w="398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tekst ostrzeżeń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Cegła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danger</w:t>
            </w:r>
          </w:p>
        </w:tc>
        <w:tc>
          <w:tcPr>
            <w:tcW w:type="dxa" w:w="1250"/>
            <w:shd w:fill="8E3B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#8E3B33</w:t>
            </w:r>
          </w:p>
        </w:tc>
        <w:tc>
          <w:tcPr>
            <w:tcW w:type="dxa" w:w="1250"/>
            <w:shd w:fill="E3A59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E2422"/>
                <w:sz w:val="18"/>
                <w:szCs w:val="18"/>
              </w:rPr>
              <w:t xml:space="preserve">#E3A59C</w:t>
            </w:r>
          </w:p>
        </w:tc>
        <w:tc>
          <w:tcPr>
            <w:tcW w:type="dxa" w:w="398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błędy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Noc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3F5650"/>
                <w:sz w:val="17"/>
                <w:szCs w:val="17"/>
              </w:rPr>
              <w:t xml:space="preserve">night</w:t>
            </w:r>
          </w:p>
        </w:tc>
        <w:tc>
          <w:tcPr>
            <w:tcW w:type="dxa" w:w="1250"/>
            <w:shd w:fill="1E242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#1E2422</w:t>
            </w:r>
          </w:p>
        </w:tc>
        <w:tc>
          <w:tcPr>
            <w:tcW w:type="dxa" w:w="1250"/>
            <w:shd w:fill="10141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#101413</w:t>
            </w:r>
          </w:p>
        </w:tc>
        <w:tc>
          <w:tcPr>
            <w:tcW w:type="dxa" w:w="398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nagłówek panelu, stopka</w:t>
            </w:r>
          </w:p>
        </w:tc>
      </w:tr>
    </w:tbl>
    <w:p>
      <w:pPr>
        <w:spacing w:after="120"/>
      </w:pPr>
    </w:p>
    <w:p>
      <w:pPr>
        <w:spacing w:after="140" w:line="312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Zasady: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Przycisk główny: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brand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z tekstem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on-brand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. Na stronę przypada jeden taki przycisk w widoku; pozostałe akcje są drugorzędne (obramowanie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brand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tło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card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Piasek nie jest kolorem tekstu na jasnym tle (3,2:1). Ostrzeżenia piszemy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warn-ink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na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warn-tint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a piasek zostaje dla linii drogi, paska licznika i obramowania wstępnego terminu.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Cegła (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danger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) oznacza tylko błąd lub odwołanie. Nigdy jako dekoracja i nigdy bez słowa obok.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Biel tylko na kartach i polach. Tło strony to zawsze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ground-family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(rodziny) albo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ground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(panel).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Kolor nigdy nie niesie znaczenia sam: przy każdym stanie stoi słowo („Wstępny”, „Potwierdzony”, „Dopłata ponad zasiłek”).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Motyw Noc jest przygotowany na tryb nocnego dyżuru w panelu. Tekst na wypełnieniu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brand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w tym motywie jest ciemny (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on-brand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).</w:t>
      </w:r>
    </w:p>
    <w:p>
      <w:pPr>
        <w:pStyle w:val="Heading1"/>
        <w:keepNext/>
        <w:pageBreakBefore/>
      </w:pPr>
      <w:r>
        <w:rPr>
          <w:color w:val="A68B5B"/>
        </w:rPr>
        <w:t xml:space="preserve">4  </w:t>
      </w:r>
      <w:r>
        <w:t xml:space="preserve">Typografia</w:t>
      </w:r>
    </w:p>
    <w:p>
      <w:pPr>
        <w:spacing w:after="140" w:line="312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Dwa kroje, oba z Google Fonts (w aplikacji przez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@fontsource-variable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):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Newsreader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– nagłówki, imiona na klepsydrze i stronie pamięci, słowa rodziny. Style: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display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h1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h2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memorial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quote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. Waga 400–500, nigdy pogrubiony.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Figtree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– cały interfejs: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body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(16 px),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card-title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(17 px półgruby),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button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(15 px półgruby),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small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(14 px),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label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(13 px, wersaliki),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price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(28 px półgruby).</w:t>
      </w:r>
    </w:p>
    <w:p>
      <w:pPr>
        <w:spacing w:after="140" w:line="312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Zasady: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Zdania i tytuły piszemy zwykłą pisownią zdaniową. Wersaliki tylko w stylu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label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(np. „NOWE ZAPYTANIE”), z rozstrzeleniem 0,6 px.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Kwoty zawsze pełne i z cyframi tabelarycznymi: „5 790 zł” (spacja niełamliwa przed „zł” i w tysiącach). Nigdy „od 4 990 zł”.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Godziny w zapisie 24-godzinnym („14:00”), daty słownie z małej litery („pt., 16 października”).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Szerokość kolumny tekstu do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measure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(ok. 65 znaków). Nagłówki z wyrównaniem do lewej, nie wyśrodkowane – wyjątek: klepsydra i strona pamięci.</w:t>
      </w:r>
    </w:p>
    <w:p>
      <w:pPr>
        <w:spacing w:after="140" w:line="312"/>
      </w:pPr>
      <w:r>
        <w:rPr>
          <w:rFonts w:ascii="Arial" w:cs="Arial" w:eastAsia="Arial" w:hAnsi="Arial"/>
          <w:i/>
          <w:iCs/>
          <w:color w:val="5C6461"/>
          <w:sz w:val="18"/>
          <w:szCs w:val="18"/>
        </w:rPr>
        <w:t xml:space="preserve">W tym pliku Word nagłówki są złożone krojem Georgia, a tekst krojem Arial – Newsreader i Figtree nie są wbudowane w dokument, a Word bez nich podmieniłby kroje dowolnie.</w:t>
      </w:r>
    </w:p>
    <w:p>
      <w:pPr>
        <w:pStyle w:val="Heading1"/>
        <w:keepNext/>
        <w:spacing w:after="240" w:before="480"/>
      </w:pPr>
      <w:r>
        <w:rPr>
          <w:color w:val="A68B5B"/>
        </w:rPr>
        <w:t xml:space="preserve">5  </w:t>
      </w:r>
      <w:r>
        <w:t xml:space="preserve">Układ i kształt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Siatka 4 px, odstępy z tokenów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space-*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. Na telefonie margines boczny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space-4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(16 px).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Najpierw telefon (390 px), potem komputer (1280 px). Jedna kolumna na telefonie, na komputerze treść + kolumna boczna.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Zaokrąglenia: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radius-control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(10 px) dla przycisków i pól,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radius-card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(14 px) dla kart,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radius-panel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(16 px) dla ofert,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radius-pill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dla etykiet.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Karty oddzielamy linią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line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1 px, nigdy cieniem. Bez gradientów, bez kolorowego paska przy lewej krawędzi karty.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Każdy element klikalny ma co najmniej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tap-target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(44 px), pola formularzy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field-height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(48 px).</w:t>
      </w:r>
    </w:p>
    <w:p>
      <w:pPr>
        <w:pStyle w:val="Heading1"/>
        <w:keepNext/>
        <w:spacing w:after="240" w:before="480"/>
      </w:pPr>
      <w:r>
        <w:rPr>
          <w:color w:val="A68B5B"/>
        </w:rPr>
        <w:t xml:space="preserve">6  </w:t>
      </w:r>
      <w:r>
        <w:t xml:space="preserve">Ikony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Zestaw Lucide, kontur, grubość domyślna. Rozmiary 16, 18, 20, 22 px. Kolor dziedziczony z tekstu.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Ikona zawsze stoi obok słowa albo ma opis dla czytnika ekranu. Bez emoji.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Symbole religijne (krzyż) pojawiają się tylko na klepsydrze i stronie pamięci, gdy rodzina wybrała ceremonię religijną. Nigdy w znaku ani w materiałach marki.</w:t>
      </w:r>
    </w:p>
    <w:p>
      <w:pPr>
        <w:pStyle w:val="Heading1"/>
        <w:keepNext/>
        <w:pageBreakBefore/>
      </w:pPr>
      <w:r>
        <w:rPr>
          <w:color w:val="A68B5B"/>
        </w:rPr>
        <w:t xml:space="preserve">7  </w:t>
      </w:r>
      <w:r>
        <w:t xml:space="preserve">Zdjęcia i grafika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Zdjęcia w naturalnym, miękkim świetle: drzewa, ścieżki, światło w oknie, dłonie, faktury kamienia i drewna. Lekko zgaszone kolory, ciepła szarość.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Nie pokazujemy trumien, płaczących ludzi, karawanów ani twarzy osób zmarłych. Bez czarnych teł z kwiatami.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Jedyna grafika marki to znak i jego powiększony fragment (łuk z linią), w kolorach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brand-tint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i jasnego piasku, ucięty przez krawędź – jak na obrazie do udostępnień.</w:t>
      </w:r>
    </w:p>
    <w:p>
      <w:pPr>
        <w:pStyle w:val="Heading1"/>
        <w:keepNext/>
        <w:spacing w:after="240" w:before="480"/>
      </w:pPr>
      <w:r>
        <w:rPr>
          <w:color w:val="A68B5B"/>
        </w:rPr>
        <w:t xml:space="preserve">8  </w:t>
      </w:r>
      <w:r>
        <w:t xml:space="preserve">Ruch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Przejścia 150–200 ms, tylko zmiana koloru i przezroczystości. Bez animacji „sukcesu”, konfetti i podskakujących elementów.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Pasek licznika 15 minut zmienia szerokość płynnie. Przy ustawieniu „ogranicz ruch” wszystkie przejścia są wyłączone.</w:t>
      </w:r>
    </w:p>
    <w:p>
      <w:pPr>
        <w:pStyle w:val="Heading1"/>
        <w:keepNext/>
        <w:spacing w:after="240" w:before="480"/>
      </w:pPr>
      <w:r>
        <w:rPr>
          <w:color w:val="A68B5B"/>
        </w:rPr>
        <w:t xml:space="preserve">9  </w:t>
      </w:r>
      <w:r>
        <w:t xml:space="preserve">Dostępność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Kontrast tekstu min. 4,5:1 w obu motywach (sprawdzone dla każdej pary w notatkach tokenów), elementy graficzne i obramowania pól 3:1 (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field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Fokus klawiatury: obwódka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focus-ring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3 px z odstępem 2 px.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Prawdziwe przyciski, linki i etykiety pól; ekran działa także bez JavaScriptu tam, gdzie to możliwe (kreator zapytania).</w:t>
      </w:r>
    </w:p>
    <w:p>
      <w:pPr>
        <w:pStyle w:val="Heading1"/>
        <w:keepNext/>
        <w:pageBreakBefore/>
      </w:pPr>
      <w:r>
        <w:rPr>
          <w:color w:val="A68B5B"/>
        </w:rPr>
        <w:t xml:space="preserve">10  </w:t>
      </w:r>
      <w:r>
        <w:t xml:space="preserve">Ton i język</w:t>
      </w:r>
    </w:p>
    <w:p>
      <w:pPr>
        <w:spacing w:after="140" w:line="312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Piszemy jak spokojny, doświadczony człowiek, który zna się na rzeczy i ma czas. Krótkie zdania, konkretne liczby, jedna prośba naraz. Do rodzin i do zakładów zwracamy się na „Ty” (w listach i SMS-ach „Ty”, „Twój” wielką literą), bez zdrobnień i bez wykrzykników.</w:t>
      </w:r>
    </w:p>
    <w:p>
      <w:pPr>
        <w:pStyle w:val="Heading2"/>
        <w:keepNext/>
      </w:pPr>
      <w:r>
        <w:t xml:space="preserve">Zasady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Najpierw to, co trzeba zrobić.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„Zakład oddzwoni w ciągu 15 minut.”, a dopiero potem wyjaśnienie.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Pełne kwoty i terminy.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„5 790 zł”, „pt., 16 października, 11:00”. Nigdy „od”, „już od”, gwiazdki ani „cena do ustalenia”, jeśli cenę znamy.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Bez sprzedaży.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Nie mówimy o promocjach, pakietach premium ani o „najlepszej ofercie”. Kolejności nie da się kupić i mówimy o tym wprost.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Bez patosu.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Jedno zdanie współczucia wystarczy, i tylko tam, gdzie rodzina pierwszy raz zostawia dane. Bez „pięknych pożegnań” i „godnych ceremonii” w każdym akapicie.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Błąd mówi, co zrobić.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„Numer konta ma 26 cyfr.”, „Ten karawan jest już zarezerwowany w tym czasie.” Bez „Ups”, bez przeprosin w kółko.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Zawsze człowiek pod telefonem.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Każdy ekran rodziny kończy się numerem opiekuna, w panelu – numerem opiekuna partnerów.</w:t>
      </w:r>
    </w:p>
    <w:p>
      <w:pPr>
        <w:pStyle w:val="Heading2"/>
        <w:keepNext/>
      </w:pPr>
      <w:r>
        <w:t xml:space="preserve">Słownik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6EA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3F5650"/>
                <w:sz w:val="18"/>
                <w:szCs w:val="18"/>
              </w:rPr>
              <w:t xml:space="preserve">Piszemy</w:t>
            </w:r>
          </w:p>
        </w:tc>
        <w:tc>
          <w:tcPr>
            <w:tcW w:type="dxa" w:w="4819"/>
            <w:shd w:fill="E6EA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3F5650"/>
                <w:sz w:val="18"/>
                <w:szCs w:val="18"/>
              </w:rPr>
              <w:t xml:space="preserve">Nie piszemy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osoba zmarła, zmarły, zmarła, Śp. (tylko na klepsydrze)</w:t>
            </w:r>
          </w:p>
        </w:tc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denat, nieboszczyk, ciało (poza kontekstem odbioru i chłodni)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pogrzeb, pożegnanie, ceremonia, pochówek</w:t>
            </w:r>
          </w:p>
        </w:tc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usługa funeralna, event, produkt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rodzina, osoba organizująca pogrzeb</w:t>
            </w:r>
          </w:p>
        </w:tc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klient, lead, kontakt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zakład, zakład pogrzebowy, partner Ostoi</w:t>
            </w:r>
          </w:p>
        </w:tc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dostawca, usługodawca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zapytanie, zlecenie, umowa</w:t>
            </w:r>
          </w:p>
        </w:tc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ticket, deal, transakcja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zasiłek pogrzebowy (7 000 zł z ZUS)</w:t>
            </w:r>
          </w:p>
        </w:tc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becikowe pogrzebowe, „pieniądze z ZUS-u”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opiekun Ostoi</w:t>
            </w:r>
          </w:p>
        </w:tc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konsultant, infolinia, bot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ostrzeżenie: „Pochówek wcześniej niż 24 godziny od zgonu”</w:t>
            </w:r>
          </w:p>
        </w:tc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„Błąd!”, „Niedozwolone”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Przykłady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6EA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3F5650"/>
                <w:sz w:val="18"/>
                <w:szCs w:val="18"/>
              </w:rPr>
              <w:t xml:space="preserve">Zamiast</w:t>
            </w:r>
          </w:p>
        </w:tc>
        <w:tc>
          <w:tcPr>
            <w:tcW w:type="dxa" w:w="4819"/>
            <w:shd w:fill="E6EA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3F5650"/>
                <w:sz w:val="18"/>
                <w:szCs w:val="18"/>
              </w:rPr>
              <w:t xml:space="preserve">Piszemy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„Najlepsze ceny pogrzebów w Twojej okolicy! Sprawdź już teraz!”</w:t>
            </w:r>
          </w:p>
        </w:tc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„Porównaj pełne ceny zakładów pogrzebowych w swoim mieście.”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„Pakiet Premium od 3 999 zł*”</w:t>
            </w:r>
          </w:p>
        </w:tc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„Kremacja z ceremonią religijną – 5 790 zł. Z zasiłku zostaje 1 210 zł.”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„Twoje zgłoszenie zostało przyjęte do realizacji.”</w:t>
            </w:r>
          </w:p>
        </w:tc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„Zapytanie wysłane. Dom Pogrzebowy Cisza oddzwoni w ciągu 15 minut.”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„Nowy lead czeka!”</w:t>
            </w:r>
          </w:p>
        </w:tc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„Nowe zapytanie. Odpowiedz w 15 minut.”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„Wystąpił błąd walidacji pola IBAN.”</w:t>
            </w:r>
          </w:p>
        </w:tc>
        <w:tc>
          <w:tcPr>
            <w:tcW w:type="dxa" w:w="481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„Numer konta ma 26 cyfr.”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SMS do rodziny (wzór)</w:t>
      </w:r>
    </w:p>
    <w:p>
      <w:pPr>
        <w:pBdr>
          <w:left w:val="single" w:color="A68B5B" w:sz="12" w:space="10"/>
        </w:pBdr>
        <w:shd w:fill="F4F4F2" w:color="auto" w:val="clear"/>
        <w:spacing w:after="160" w:before="80" w:line="312"/>
        <w:ind w:left="240" w:right="240"/>
      </w:pPr>
      <w:r>
        <w:rPr>
          <w:rFonts w:ascii="Georgia" w:cs="Georgia" w:eastAsia="Georgia" w:hAnsi="Georgia"/>
          <w:i/>
          <w:iCs/>
          <w:color w:val="1E2422"/>
          <w:sz w:val="23"/>
          <w:szCs w:val="23"/>
        </w:rPr>
        <w:t xml:space="preserve">Dzień dobry, tu Dom Pogrzebowy Cisza. Pod tym linkiem zobaczysz terminy i koszty oraz uzupełnisz dane do dokumentów: [adres Ostoi]/r/… W razie pytań: 600 000 001.</w:t>
      </w:r>
    </w:p>
    <w:p>
      <w:pPr>
        <w:spacing w:after="140" w:line="312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SMS z polskimi literami mieści 70 znaków na część (bez nich 160), więc ten wzór to 3 części. Jeśli liczy się koszt, cały SMS piszemy bez polskich liter – nigdy wybiórczo. Nadawca: nazwa zakładu, nie „Ostoja”.</w:t>
      </w:r>
    </w:p>
    <w:p>
      <w:pPr>
        <w:pStyle w:val="Heading1"/>
        <w:keepNext/>
        <w:pageBreakBefore/>
      </w:pPr>
      <w:r>
        <w:rPr>
          <w:color w:val="A68B5B"/>
        </w:rPr>
        <w:t xml:space="preserve">11  </w:t>
      </w:r>
      <w:r>
        <w:t xml:space="preserve">Zastosowania</w:t>
      </w:r>
    </w:p>
    <w:p>
      <w:pPr>
        <w:pStyle w:val="Heading2"/>
        <w:keepNext/>
      </w:pPr>
      <w:r>
        <w:t xml:space="preserve">Strona dla rodzin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Tło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ground-family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nagłówek z logo poziomym (znak 30 px) i numerem opiekuna po prawej. Stopka na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night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z logo na ciemne tło.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Jedno zdanie w stylu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display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pod nim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body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w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muted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i jeden przycisk główny. Obok – karta przykładowej oferty, nie zdjęcie.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Oferty: karty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radius-panel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na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card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nazwa zakładu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h2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kwota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price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pod nią „Z zasiłku zostaje …” w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brand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albo „Dopłata ponad zasiłek …” w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warn-ink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.</w:t>
      </w:r>
    </w:p>
    <w:p>
      <w:pPr>
        <w:pStyle w:val="Heading2"/>
        <w:keepNext/>
      </w:pPr>
      <w:r>
        <w:t xml:space="preserve">Panel zakładu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Nagłówek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night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w kafelku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brand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znak jasny (26 px), obok nazwa zakładu i osoba. Tło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ground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Nowe zapytanie: karta z obramowaniem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warn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2 px na całym obwodzie, etykieta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label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w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warn-ink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licznik 15 minut z paskiem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warn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na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warn-tint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Ikona aplikacji na telefonie: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ostoja-ikona-512.png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kolor motywu przeglądarki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night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.</w:t>
      </w:r>
    </w:p>
    <w:p>
      <w:pPr>
        <w:pStyle w:val="Heading2"/>
        <w:keepNext/>
      </w:pPr>
      <w:r>
        <w:t xml:space="preserve">Dokumenty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Klepsydra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(A4, druk z przeglądarki): ramka czarna 6 mm, imię i nazwisko w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memorial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reszta Newsreader. Krzyż i „Śp.” tylko przy ceremonii religijnej. U dołu drobno nazwa i telefon zakładu – bez logo Ostoi, klepsydra należy do rodziny i zakładu.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Kosztorys i umowa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: logo zakładu u góry, w stopce „Przygotowano w Ostoi” małym logo poziomym (22 mm).</w:t>
      </w:r>
    </w:p>
    <w:p>
      <w:pPr>
        <w:pStyle w:val="Heading2"/>
        <w:keepNext/>
      </w:pPr>
      <w:r>
        <w:t xml:space="preserve">Materiały firmowe</w:t>
      </w:r>
    </w:p>
    <w:p>
      <w:pPr>
        <w:spacing w:after="60" w:before="120"/>
        <w:jc w:val="left"/>
      </w:pPr>
      <w:r>
        <w:drawing>
          <wp:inline distT="0" distB="0" distL="0" distR="0">
            <wp:extent cx="6096000" cy="1914525"/>
            <wp:effectExtent t="0" r="0" b="0" l="0"/>
            <wp:docPr id="1" name="wizytowka" descr="Wizytówka – przód i tył" title="Wizytówka – przód i ty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Arial" w:cs="Arial" w:eastAsia="Arial" w:hAnsi="Arial"/>
          <w:color w:val="5C6461"/>
          <w:sz w:val="17"/>
          <w:szCs w:val="17"/>
        </w:rPr>
        <w:t xml:space="preserve">Wizytówka 85 × 55 mm: przód biały, tył w kolorze szałwii.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Wizytówka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85 × 55 mm (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zastosowanie-wizytowka.svg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): przód biały – logo poziome, imię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card-title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rola i kontakt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small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; tył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brand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– znak jasny na środku i jedno zdanie Newsreader: „Pomagamy przejść przez to spokojnie.” Papier niepowlekany, gramatura 350 g, bez lakieru i złoceń.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Naklejka „Partner Ostoi”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120 × 120 mm (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zastosowanie-naklejka-partnera.svg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) na drzwi i witrynę zakładu, folia matowa.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Podpis e-mail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: imię i nazwisko (Figtree 600), rola, telefon, logo poziome 120 px. Bez cytatów i bannerów.</w:t>
      </w:r>
    </w:p>
    <w:p>
      <w:pPr>
        <w:pStyle w:val="Heading2"/>
        <w:keepNext/>
      </w:pPr>
      <w:r>
        <w:t xml:space="preserve">Internet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Obraz do udostępnień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1200 × 630 (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opengraph-image.png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): tło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ground-family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logo, jedno zdanie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display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powiększony znak w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brand-tint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i jasnym piasku ucięty przez prawy dolny róg.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Awatar w mediach społecznościowych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: ikona aplikacji (znak jasny na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brand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Ikona karty przeglądarki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3F5650"/>
          <w:sz w:val="19"/>
          <w:szCs w:val="19"/>
        </w:rPr>
        <w:t xml:space="preserve">ostoja-znak-maly.svg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C6461"/>
        <w:sz w:val="16"/>
        <w:szCs w:val="16"/>
      </w:rPr>
      <w:t xml:space="preserve">Ostoja · Identyfikacja wizualna · </w:t>
    </w:r>
    <w:r>
      <w:rPr>
        <w:rFonts w:ascii="Arial" w:cs="Arial" w:eastAsia="Arial" w:hAnsi="Arial"/>
        <w:color w:val="5C64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  <w:rPr>
        <w:color w:val="A68B5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80" w:before="0"/>
      <w:outlineLvl w:val="0"/>
    </w:pPr>
    <w:rPr>
      <w:rFonts w:ascii="Georgia" w:cs="Georgia" w:eastAsia="Georgia" w:hAnsi="Georgia"/>
      <w:color w:val="1E2422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spacing w:after="140" w:before="360"/>
      <w:outlineLvl w:val="1"/>
    </w:pPr>
    <w:rPr>
      <w:rFonts w:ascii="Georgia" w:cs="Georgia" w:eastAsia="Georgia" w:hAnsi="Georgia"/>
      <w:color w:val="3F565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75e045a12814bdb57f078b4db39e1a5a3c9bd78.png"/><Relationship Id="rId9" Type="http://schemas.openxmlformats.org/officeDocument/2006/relationships/image" Target="media/eba09f1d7c235145af42dc6fe0f09f48e47ee82d.png"/><Relationship Id="rId10" Type="http://schemas.openxmlformats.org/officeDocument/2006/relationships/image" Target="media/97c91a2e15c7057987d843daff0d8486e2a43342.png"/><Relationship Id="rId11" Type="http://schemas.openxmlformats.org/officeDocument/2006/relationships/image" Target="media/4551594eaab0c7e86929338343cacaac27b056f3.png"/><Relationship Id="rId12" Type="http://schemas.openxmlformats.org/officeDocument/2006/relationships/image" Target="media/c8a91aef2116cf96ef1bfe21877a27e5e23e176e.png"/><Relationship Id="rId13" Type="http://schemas.openxmlformats.org/officeDocument/2006/relationships/image" Target="media/9a0518bdb1be43ad6da0a42c5a26d2867b210e56.png"/><Relationship Id="rId14" Type="http://schemas.openxmlformats.org/officeDocument/2006/relationships/image" Target="media/f3bdb6e57ade5c65af9465750a87ef6518372a27.png"/><Relationship Id="rId15" Type="http://schemas.openxmlformats.org/officeDocument/2006/relationships/image" Target="media/c0fb2796e5eeaec436561b6cceb76d3d1df52f00.png"/><Relationship Id="rId16" Type="http://schemas.openxmlformats.org/officeDocument/2006/relationships/image" Target="media/e8c32c2dc6a6528060594a288b3b8dcb1eab5817.png"/><Relationship Id="rId17" Type="http://schemas.openxmlformats.org/officeDocument/2006/relationships/image" Target="media/a1430cf420bcfbaff7f9e5ef64cc8c9db87c4377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Ostoja – identyfikacja wizualna</dc:title>
  <dc:creator>Ostoja</dc:creator>
  <cp:lastModifiedBy>Un-named</cp:lastModifiedBy>
  <cp:revision>1</cp:revision>
  <dcterms:created xsi:type="dcterms:W3CDTF">2026-10-16T07:51:04.356Z</dcterms:created>
  <dcterms:modified xsi:type="dcterms:W3CDTF">2026-10-16T07:51:04.356Z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