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16002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Georgia" w:cs="Georgia" w:eastAsia="Georgia" w:hAnsi="Georgia"/>
          <w:color w:val="1E2422"/>
          <w:sz w:val="52"/>
          <w:szCs w:val="52"/>
        </w:rPr>
        <w:t xml:space="preserve">Dane osobowe i bezpieczeństwo</w:t>
      </w:r>
    </w:p>
    <w:p>
      <w:pPr>
        <w:spacing w:after="120" w:line="300"/>
      </w:pPr>
      <w:r>
        <w:rPr>
          <w:rFonts w:ascii="Arial" w:cs="Arial" w:eastAsia="Arial" w:hAnsi="Arial"/>
          <w:color w:val="5C6461"/>
          <w:sz w:val="23"/>
          <w:szCs w:val="23"/>
        </w:rPr>
        <w:t xml:space="preserve">Szkic dokumentów RODO i wyniki przeglądu bezpieczeństwa – do przeglądu przez prawnika przed przyjęciem prawdziwych danych. Stan na 16 października 2026.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</w:tblPr>
      <w:tblGrid>
        <w:gridCol w:w="9638"/>
      </w:tblGrid>
      <w:tr>
        <w:tc>
          <w:tcPr>
            <w:tcW w:type="dxa" w:w="9638"/>
            <w:shd w:fill="F1ECE2" w:color="auto" w:val="clear"/>
            <w:tcMar>
              <w:top w:type="dxa" w:w="160"/>
              <w:left w:type="dxa" w:w="220"/>
              <w:bottom w:type="dxa" w:w="12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3F5650"/>
                <w:sz w:val="22"/>
                <w:szCs w:val="22"/>
              </w:rPr>
              <w:t xml:space="preserve">Ważne</w:t>
            </w:r>
          </w:p>
          <w:p>
            <w:pPr>
              <w:spacing w:after="120" w:line="300"/>
            </w:pPr>
            <w:r>
              <w:rPr>
                <w:rFonts w:ascii="Arial" w:cs="Arial" w:eastAsia="Arial" w:hAnsi="Arial"/>
                <w:color w:val="1E2422"/>
                <w:sz w:val="21"/>
                <w:szCs w:val="21"/>
              </w:rPr>
              <w:t xml:space="preserve">Ten dokument przygotowano jako materiał roboczy na podstawie tego, jak działa aplikacja. Nie jest poradą prawną. Miejsca oznaczone [DO UZUPEŁNIENIA] wymagają danych spółki albo decyzji. Przed startem z prawdziwymi danymi przejrzy go prawnik specjalizujący się w ochronie danych.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Zawartość: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1. Kto jest administratorem czego · 2. Rejestr czynności przetwarzania · 3. Rejestr kategorii czynności (podmiot przetwarzający) · 4. Wzór umowy powierzenia z zakładem · 5. Regulamin dla zakładów – punkty wymagane przez P2B · 6. Polityka prywatności i regulamin dla rodzin · 7. Środki bezpieczeństwa · 8. Przegląd bezpieczeństwa z 16.10.2026 · 9. Lista kontrolna przed prawdziwymi danymi · 10. Procedury: naruszenia i wnioski osób.</w:t>
      </w:r>
    </w:p>
    <w:p>
      <w:r>
        <w:br w:type="page"/>
      </w:r>
    </w:p>
    <w:p>
      <w:pPr>
        <w:pStyle w:val="Heading1"/>
      </w:pPr>
      <w:r>
        <w:t xml:space="preserve">1. Kto jest administratorem czego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Dane osób zmarłych nie są danymi osobowymi w rozumieniu RODO, ale prawie wszystkie dane w Ostoi dotyczą żyjących członków rodziny, więc całość traktujemy jak dane osobowe. Nie zbieramy przyczyny zgonu (dane o zdrowiu) ani numeru PESEL.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Dane</w:t>
            </w:r>
          </w:p>
        </w:tc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Kto decyduje (rola)</w:t>
            </w:r>
          </w:p>
        </w:tc>
        <w:tc>
          <w:tcPr>
            <w:tcW w:type="dxa" w:w="34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Uzasadnienie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Zapytanie rodziny: imię, telefon, odpowiedzi z formularza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Ostoja – administrator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Ostoja decyduje, do którego zakładu trafia zapytanie i kiedy ujawnić numer.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Zlecenie po przyjęciu: dane osoby zmarłej i organizującej, terminy, usługi, numer konta do zasiłku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Zakład – administrator; Ostoja – podmiot przetwarzający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 zawiera umowę z rodziną i odpowiada za dokumenty pogrzebu; Ostoja dostarcza narzędzie (panel). Umowa powierzenia – rozdział 4.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Konta pracowników zakładów (e-mail, imię, rola)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Ostoja – administrator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Ostoja prowadzi konta i dostęp do panelu.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Zapytania przekazane do opiekuna, dziennik działań administratorów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Ostoja – administrator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Opiekun Ostoi sam dzwoni do rodziny.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Rozliczenia z zakładami (NIP, liczba zleceń)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1E2422"/>
                <w:sz w:val="19"/>
                <w:szCs w:val="19"/>
              </w:rPr>
              <w:t xml:space="preserve">Ostoja – administrator</w:t>
            </w:r>
          </w:p>
        </w:tc>
        <w:tc>
          <w:tcPr>
            <w:tcW w:type="dxa" w:w="34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Fakturowanie; dane głównie firmowe.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Rejestr czynności przetwarzania (art. 30 ust. 1 RODO)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Administrator: Ostoja sp. z o.o., [DO UZUPEŁNIENIA] (adres, NIP, KRS). Kontakt w sprawie danych: [DO UZUPEŁNIENIA]. Inspektor ochrony danych: nie wyznaczono (do decyzji – przy dużej skali monitorowania nie jest wymagany, ale można wyznaczyć dobrowolnie).</w:t>
      </w:r>
    </w:p>
    <w:p>
      <w:pPr>
        <w:pStyle w:val="Heading2"/>
      </w:pPr>
      <w:r>
        <w:t xml:space="preserve">2.1. Przyjmowanie zapytań od rodzin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zapytania zakładom, kontakt zakładu z rodziną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Członkowie rodzin osób zmarłych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Imię i nazwisko, telefon, miasto, forma pochówku, ceremonia, miejsce zgonu (szpital/dom/DPS), budżet, liczba gości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b (działania przed umową na żądanie) i lit. a (zgoda na przekazanie numeru zakładowi)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Zakład, który przyjął zapytanie; opiekun Ostoi; Supabase, Vercel, SMSAPI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Vercel Inc. (USA): Ramy ochrony danych UE–USA + SCC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Imię i telefon: 90 dni, potem usunięcie (funkcja purge_old_data, codziennie)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2.2. Weryfikacja numeru kodem SMS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Potwierdzenie, że numer należy do osoby wysyłającej; ochrona przed nadużyciami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Jw.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Telefon, skrót kodu, liczba prób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f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SMSAPI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Niedokończony formularz: 24 h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2.3. Ograniczanie liczby prób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Ochrona przed spamem i atakami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Odwiedzający stronę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Skrót SHA-256 z rodzaju akcji i adresu IP (bez samego IP)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f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1 doba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2.4. Obsługa zapytań przez opiekuna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Telefon do rodziny, gdy żaden zakład nie przyjął zapytania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Członkowie rodzin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Jak przy zapytaniu + notatka opiekuna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b i f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Opiekunowie Ostoi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Jw.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Jak przy zapytaniu; dziennik odczytów 2 lata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2.5. Konta w panelu zakładu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Logowanie, uprawnienia, zaproszenia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Właściciele i pracownicy zakładów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E-mail, imię i nazwisko, rola, urządzenia z powiadomieniami push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b (umowa z zakładem) i f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Supabase (logowanie), Vercel, dostawca poczty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Jw.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zakończenia współpracy + 1 rok [DO UZUPEŁNIENIA]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2.6. Dziennik działań administratorów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Rozliczalność, wykrywanie nadużyć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Administratorzy Ostoi; pośrednio rodziny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Kto, co, kiedy, którego zakładu/zapytania dotyczyło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c (art. 5 ust. 2, art. 32 RODO) i f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 lata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2.7. Rozliczenia z zakładami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3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Cel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Faktury za zlecenia z podpisaną umową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osób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Zakłady (przedsiębiorcy), osoby kontaktowe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danych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Nazwa, NIP, adres, liczba zleceń, kwoty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Podstawa prawna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Art. 6 ust. 1 lit. b i c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Odbiorcy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Biuro rachunkowe [DO UZUPEŁNIENIA]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Okres przechowywania</w:t>
            </w:r>
          </w:p>
        </w:tc>
        <w:tc>
          <w:tcPr>
            <w:tcW w:type="dxa" w:w="73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5 lat od końca roku podatkowego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Środki techniczne i organizacyjne dla wszystkich czynności: rozdział 7.</w:t>
      </w:r>
    </w:p>
    <w:p>
      <w:pPr>
        <w:pStyle w:val="Heading1"/>
      </w:pPr>
      <w:r>
        <w:t xml:space="preserve">3. Rejestr kategorii czynności – Ostoja jako podmiot przetwarzający (art. 30 ust. 2)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Pozycja</w:t>
            </w:r>
          </w:p>
        </w:tc>
        <w:tc>
          <w:tcPr>
            <w:tcW w:type="dxa" w:w="70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Treść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Administratorzy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Zakłady pogrzebowe – partnerzy Ostoi (lista w panelu administratora)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Kategorie przetwarzania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Przechowywanie i udostępnianie w panelu: dane zleceń (osoba zmarła, osoba organizująca, kontakt, terminy, usługi, kwoty, numer konta do zasiłku, zgody), kalendarz i rezerwacje, dokumenty (klepsydra, kosztorys), wysyłka SMS z linkiem do rodziny, strona pamięci publikowana na życzenie rodziny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Dalsi podmioty przetwarzające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Supabase Inc. (baza danych, region UE – Frankfurt), Vercel Inc. (hosting, region Frankfurt, firma z USA), SMSAPI (LINK Mobility Poland), dostawca poczty [DO UZUPEŁNIENIA]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Przekazanie poza EOG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Vercel Inc. – Ramy ochrony danych UE–USA i standardowe klauzule umowne. Uwaga: w 2026 r. ramy są podważane (wyrok Sądu Najwyższego USA w sprawie Trump v. Slaughter dotyczący niezależności FTC, zapowiedziana skarga noyb). Na razie obowiązują; warto mieć SCC jako drugą podstawę i ograniczać dane przetwarzane przez Vercel do niezbędnych.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Środki bezpieczeństwa</w:t>
            </w:r>
          </w:p>
        </w:tc>
        <w:tc>
          <w:tcPr>
            <w:tcW w:type="dxa" w:w="7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Rozdział 7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Wzór umowy powierzenia przetwarzania danych (art. 28 RODO)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Zawierana razem z umową partnerską. Strony: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[DO UZUPEŁNIENIA] (zakład pogrzebowy)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„Administrator”, oraz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Ostoja sp. z o.o.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– „Podmiot przetwarzający”.</w:t>
      </w:r>
    </w:p>
    <w:p>
      <w:pPr>
        <w:pStyle w:val="Heading2"/>
      </w:pPr>
      <w:r>
        <w:t xml:space="preserve">§ 1. Przedmiot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Administrator powierza Podmiotowi przetwarzającemu przetwarzanie danych osobowych w zakresie i celu określonym w umowie, w związku z korzystaniem z panelu Ostoi (umowa partnerska z dnia [DO UZUPEŁNIENIA]).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Charakter przetwarzania: przechowywanie, udostępnianie upoważnionym osobom Administratora, wysyłka SMS z linkiem do rodziny na polecenie Administratora, publikacja strony pamięci na polecenie Administratora.</w:t>
      </w:r>
    </w:p>
    <w:p>
      <w:pPr>
        <w:pStyle w:val="Heading2"/>
      </w:pPr>
      <w:r>
        <w:t xml:space="preserve">§ 2. Zakres danych i kategorie osób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Osoby: osoby zmarłe (w zakresie danych żyjących osób, których dotyczą), członkowie rodzin i osoby organizujące pogrzeb, pracownicy Administratora.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Dane: imię i nazwisko, telefon, e-mail, daty urodzenia i zgonu, numer rachunku bankowego do wypłaty zasiłku, terminy i miejsca uroczystości, wybrane usługi i kwoty, zgody. Bez danych szczególnych kategorii; bez przyczyny zgonu; bez PESEL (chyba że strony uzgodnią inaczej aneksem).</w:t>
      </w:r>
    </w:p>
    <w:p>
      <w:pPr>
        <w:pStyle w:val="Heading2"/>
      </w:pPr>
      <w:r>
        <w:t xml:space="preserve">§ 3. Czas trwania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Przez okres obowiązywania umowy partnerskiej. Po jej zakończeniu Podmiot przetwarzający w ciągu 30 dni zwraca dane (eksport) i je usuwa, chyba że przepis wymaga dalszego przechowywania.</w:t>
      </w:r>
    </w:p>
    <w:p>
      <w:pPr>
        <w:pStyle w:val="Heading2"/>
      </w:pPr>
      <w:r>
        <w:t xml:space="preserve">§ 4. Obowiązki Podmiotu przetwarzającego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Przetwarza dane wyłącznie na udokumentowane polecenie Administratora; poleceniem jest w szczególności korzystanie z funkcji panelu.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Zapewnia, by osoby upoważnione do przetwarzania zobowiązały się do zachowania tajemnicy.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Stosuje środki z art. 32 RODO opisane w załączniku (rozdział 7 tego dokumentu).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Pomaga Administratorowi w realizacji praw osób (dostęp, sprostowanie, usunięcie) i w obowiązkach z art. 32–36 RODO.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Zgłasza Administratorowi naruszenie ochrony danych bez zbędnej zwłoki, nie później niż w ciągu 24 godzin od jego wykrycia.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Udostępnia informacje potrzebne do wykazania zgodności i umożliwia audyty po uprzednim zawiadomieniu (14 dni).</w:t>
      </w:r>
    </w:p>
    <w:p>
      <w:pPr>
        <w:pStyle w:val="Heading2"/>
      </w:pPr>
      <w:r>
        <w:t xml:space="preserve">§ 5. Dalsze powierzenie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Administrator wyraża ogólną zgodę na dalsze powierzenie podmiotom wymienionym w załączniku (Supabase, Vercel, SMSAPI, dostawca poczty). O zmianach Podmiot przetwarzający informuje z 14-dniowym wyprzedzeniem; Administrator może zgłosić sprzeciw.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Podmiot przetwarzający nakłada na dalszych przetwarzających te same obowiązki i odpowiada za ich działania jak za własne.</w:t>
      </w:r>
    </w:p>
    <w:p>
      <w:pPr>
        <w:pStyle w:val="Heading2"/>
      </w:pPr>
      <w:r>
        <w:t xml:space="preserve">§ 6. Postanowienia końcowe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Odpowiedzialność stron – zgodnie z art. 82 RODO; limit odpowiedzialności umownej [DO UZUPEŁNIENIA].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Zmiany wymagają formy dokumentowej. Sądem właściwym jest sąd właściwy dla siedziby Podmiotu przetwarzającego.</w:t>
      </w:r>
    </w:p>
    <w:p>
      <w:r>
        <w:br w:type="page"/>
      </w:r>
    </w:p>
    <w:p>
      <w:pPr>
        <w:pStyle w:val="Heading1"/>
      </w:pPr>
      <w:r>
        <w:t xml:space="preserve">5. Regulamin dla zakładów – punkty wymagane przez P2B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Rozporządzenie (UE) 2019/1150 (P2B) dotyczy pośredników internetowych obsługujących przedsiębiorców. Ostoja jest takim pośrednikiem wobec zakładów, więc regulamin dla zakładów musi zawierać m.in.: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Wymóg</w:t>
            </w:r>
          </w:p>
        </w:tc>
        <w:tc>
          <w:tcPr>
            <w:tcW w:type="dxa" w:w="66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Jak to robi Ostoja (do wpisania w regulamin)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Jasne warunki, dostępne przed rejestracją i w każdej chwili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Regulamin na stronie i w panelu; akceptacja przy umowie partnerskiej.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Zmiany warunków: min. 15 dni wyprzedzenia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Informacja e-mailem i w panelu; zakład może wypowiedzieć umowę przed wejściem zmian.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Główne parametry kolejności (rankingu)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Domyślnie odległość od środka miasta; rodzina może sortować po cenie i ocenach. Brak płatnych wyróżnień. Zapytania rozsyłane do wybranego zakładu albo 3 najbliższych, w kolejnych rundach do kolejnych najbliższych.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Ograniczenie, zawieszenie, zakończenie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Wdrożone: wstrzymanie wymaga podstawy (6 punktów z /regulamin-partnera) i opisu faktów; zakład widzi uzasadnienie w panelu w chwili wstrzymania (Status zakładu, z wydrukiem). Wypowiedzenie z 30-dniowym wyprzedzeniem – w zasadach dla partnerów.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Dostęp do danych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Zakład widzi dane swoich zapytań i zleceń; numer rodziny dopiero po przyjęciu. Ostoja korzysta z danych zbiorczych (statystyki) – opisać w regulaminie.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Wewnętrzny system rozpatrywania skarg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Wdrożone: odwołanie w panelu (właściciel lub biuro), odpowiedź z uzasadnieniem w 7 dni w panelu administratora (Odwołania), historia statusu i dziennik. Skargi spoza wstrzymań – opiekun partnerów [DO UZUPEŁNIENIA].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Mediatorzy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Miejsce w zasadach dla partnerów przygotowane; wskazać co najmniej dwóch mediatorów [DO UZUPEŁNIENIA].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Opłaty</w:t>
            </w:r>
          </w:p>
        </w:tc>
        <w:tc>
          <w:tcPr>
            <w:tcW w:type="dxa" w:w="66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250 zł netto za zlecenie z Ostoi z podpisaną umową; brak abonamentu [DO UZUPEŁNIENIA].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Dodatkowo (dyrektywa Omnibus, ustawa o przeciwdziałaniu nieuczciwym praktykom rynkowym): rodziny muszą wiedzieć, jak ustalana jest kolejność ofert i czy oceny są weryfikowane. Strona /regulamin to opisuje; sposób weryfikacji ocen trzeba uzupełnić przed ich publikacją (dziś w wersji testowej oceny są fikcyjne).</w:t>
      </w:r>
    </w:p>
    <w:p>
      <w:pPr>
        <w:pStyle w:val="Heading1"/>
      </w:pPr>
      <w:r>
        <w:t xml:space="preserve">6. Polityka prywatności i regulamin dla rodzin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Pełne teksty są w aplikacji: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/prywatnosc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 </w:t>
      </w: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/regulamin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(oznaczone jako wersja robocza). Najważniejsze decyzje do potwierdzenia przez prawnika: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Podstawa przekazania numeru zakładowi: zgoda (checkbox przy formularzu) i działania przed umową. Czy sama lit. b wystarcza i checkbox może zostać jako informacja?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Okres przechowywania imienia i telefonu z zapytania: 90 dni (wdrożone).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Brak banera cookie – tylko pliki niezbędne (sesja, zaproszenie, kod testowy).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Informacja o przekazaniu do USA (Vercel) przy niepewnym statusie Ram ochrony danych UE–USA.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Treść SMS z kodem: bez nazwy zakładu i bez polskich znaków (jeden SMS).</w:t>
      </w:r>
    </w:p>
    <w:p>
      <w:r>
        <w:br w:type="page"/>
      </w:r>
    </w:p>
    <w:p>
      <w:pPr>
        <w:pStyle w:val="Heading1"/>
      </w:pPr>
      <w:r>
        <w:t xml:space="preserve">7. Środki bezpieczeństwa (art. 32 RODO)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Obszar</w:t>
            </w:r>
          </w:p>
        </w:tc>
        <w:tc>
          <w:tcPr>
            <w:tcW w:type="dxa" w:w="69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Co jest wdrożone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Dostęp do danych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Zabezpieczenia na poziomie wierszy w bazie (RLS): każdy zakład widzi tylko swoje dane, sprawdzone testami. Telefon rodziny dostępny dopiero po przyjęciu zapytania. Role w zakładzie: właściciel, biuro, ekipa (ekipa bez zmian cennika i profilu).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Publiczne API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Funkcje zwracające kod SMS lub e-mail z zaproszenia wywołuje wyłącznie serwer aplikacji (rola service_role); test sprawdza, że rola anon ma dostęp tylko do 6 funkcji strony dla rodzin.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Logowanie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 jednorazowy z e-maila (bez haseł), ważny godzinę, potwierdzany kliknięciem (odporny na skanery poczty). Sesja w ciasteczku httpOnly, SameSite, podpisanym (HS256), 12 godzin. Konta testowe tylko dla adresów @….test.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Weryfikacja numeru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Kod 6 cyfr, w bazie tylko skrót SHA-256, 5 prób, 3 wysyłki, ważność 10 minut, limit 3 formularzy na numer na godzinę.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Linki dla rodzin i zaproszenia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Tokeny losowe (192 bity dla rodzin, 256 bitów dla zaproszeń; zaproszenia przechowywane jako skrót), wygasają (60 i 7 dni), Referrer-Policy: no-referrer na stronie rodziny.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Limity prób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bazie, wspólne dla wszystkich instancji; zamiast adresu IP skrót.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Administratorzy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Osobna tabela uprawnień; każda zmiana i każdy odczyt telefonów rodzin w dzienniku (2 lata).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Szyfrowanie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HTTPS z HSTS; baza Supabase szyfrowana na dysku; klucze tylko w zmiennych środowiskowych serwera.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Nagłówki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CSP z jednorazowym nonce dla skryptów (strict-dynamic, bez inline), frame-ancestors none, form-action i base-uri self; X-Frame-Options DENY, nosniff, Permissions-Policy, noindex na wersji testowej.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Retencja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Codzienne zadanie purge_old_data: imię i telefon z zapytań po 90 dniach, szkice po dobie, błędy aplikacji po 30 dniach, dziennik po 2 latach.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Testy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Testy bazy (12 plików), testy logiki i testy przeglądarkowe uruchamiane przy każdej zmianie (GitHub Actions).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Logi i monitoring</w:t>
            </w:r>
          </w:p>
        </w:tc>
        <w:tc>
          <w:tcPr>
            <w:tcW w:type="dxa" w:w="69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Bez PESEL, telefonów i nazwisk. Błędy aplikacji zapisywane w bazie zgrupowane po trasie; numery, e-maile, identyfikatory i tokeny zamieniane na znaczniki (w aplikacji i drugi raz w bazie); podgląd w panelu administratora (Błędy).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Przegląd bezpieczeństwa z 16 października 2026</w:t>
      </w:r>
    </w:p>
    <w:p>
      <w:pPr>
        <w:pStyle w:val="Heading2"/>
      </w:pPr>
      <w:r>
        <w:t xml:space="preserve">Naprawione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Problem</w:t>
            </w:r>
          </w:p>
        </w:tc>
        <w:tc>
          <w:tcPr>
            <w:tcW w:type="dxa" w:w="60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Naprawa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Funkcje wydające kod SMS i e-mail z zaproszenia były dostępne dla roli anon – przez publiczne API Supabase dało się pobrać kod SMS bez telefonu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Dostęp tylko dla serwera (service_role); test 09_hardening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Zapytanie dało się utworzyć z pominięciem kodu SMS (create_inquiry dla anon)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create_inquiry tylko przez confirm_inquiry po poprawnym kodzie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Funkcje bez jawnych uprawnień wykonywalne dla wszystkich (wycena niezweryfikowanego zakładu)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Uprawnienia odebrane; test pilnuje, by żadna funkcja security definer nie była dostępna dla PUBLIC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Ekipa mogła zapisać zmiany w cenniku mimo zablokowanego formularza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Polityki RLS dla ról + sprawdzenie w akcjach; test 05_roles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Limit prób w pamięci serwera (nieskuteczny przy wielu instancjach Vercel)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Limit w bazie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Komunikaty z adresu URL mogły pokazać rodzinie dowolny tekst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W adresie tylko kody komunikatów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Logowanie kontem testowym możliwe dla każdego konta na wersji testowej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Tylko adresy @….test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Brak retencji danych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purge_old_data + harmonogram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Zrobione 16 października (po przeglądzie)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Pełna polityka CSP dla skryptów z nonce (src/middleware.ts); test sprawdza, że wstrzyknięty atrybut zdarzenia się nie wykona.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Monitoring błędów bez danych osobowych (app_errors, panel Błędy); retencja 30 dni.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Uzasadnienie przy wstrzymaniu zakładu, odwołania i historia statusu (P2B art. 4 i 11); zasady dla partnerów na /regulamin-partnera.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Narzędzie do wniosków osób w panelu administratora (wyszukanie po numerze, kopia danych JSON, usunięcie danych z zapytań) i procedury w rozdziale 10.</w:t>
      </w:r>
    </w:p>
    <w:p>
      <w:pPr>
        <w:pStyle w:val="Heading2"/>
      </w:pPr>
      <w:r>
        <w:t xml:space="preserve">Do zrobienia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Kopie zapasowe: plan Supabase Pro (codzienne kopie, 7 dni); rozważyć PITR przed startem.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Alerty o nowych błędach (e-mail do opiekuna) – dziś tylko podgląd w panelu.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Powiadomienie zakładu o wstrzymaniu także e-mailem (trwały nośnik) – dziś w panelu z możliwością wydruku.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Test penetracyjny przed startem produkcyjnym [DO UZUPEŁNIENIA].</w:t>
      </w:r>
    </w:p>
    <w:p>
      <w:pPr>
        <w:pStyle w:val="Heading1"/>
      </w:pPr>
      <w:r>
        <w:t xml:space="preserve">9. Lista kontrolna przed prawdziwymi danymi</w:t>
      </w:r>
    </w:p>
    <w:tbl>
      <w:tblPr>
        <w:tblW w:type="dxa" w:w="9638"/>
        <w:tblBorders>
          <w:top w:val="single" w:color="D8DAD7" w:sz="4"/>
          <w:left w:val="single" w:color="D8DAD7" w:sz="4"/>
          <w:bottom w:val="single" w:color="D8DAD7" w:sz="4"/>
          <w:right w:val="single" w:color="D8DAD7" w:sz="4"/>
          <w:insideH w:val="single" w:color="D8DAD7" w:sz="4"/>
          <w:insideV w:val="single" w:color="D8DAD7" w:sz="4"/>
        </w:tblBorders>
        <w:tblLayout w:type="fixed"/>
      </w:tblPr>
      <w:tblGrid>
        <w:gridCol w:w="600"/>
        <w:gridCol w:w="6038"/>
        <w:gridCol w:w="1500"/>
        <w:gridCol w:w="1500"/>
      </w:tblGrid>
      <w:tr>
        <w:trPr>
          <w:tblHeader/>
        </w:trPr>
        <w:tc>
          <w:tcPr>
            <w:tcW w:type="dxa" w:w="6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/>
            </w:r>
          </w:p>
        </w:tc>
        <w:tc>
          <w:tcPr>
            <w:tcW w:type="dxa" w:w="6038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Zadanie</w:t>
            </w:r>
          </w:p>
        </w:tc>
        <w:tc>
          <w:tcPr>
            <w:tcW w:type="dxa" w:w="15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Kto</w:t>
            </w:r>
          </w:p>
        </w:tc>
        <w:tc>
          <w:tcPr>
            <w:tcW w:type="dxa" w:w="1500"/>
            <w:shd w:fill="E6EA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3F5650"/>
                <w:sz w:val="19"/>
                <w:szCs w:val="19"/>
              </w:rPr>
              <w:t xml:space="preserve">Stan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1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Przegląd tego dokumentu i tekstów /prywatnosc, /regulamin przez prawnika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prawnik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2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Umowy powierzenia (DPA) z Supabase, Vercel, SMSAPI, dostawcą poczty – akceptacja w panelach usług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3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Regulamin dla zakładów (P2B) i umowa partnerska z umową powierzenia (rozdział 4)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prawnik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4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Rejestr czynności (rozdział 2) uzupełniony o dane spółki i podpisany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5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Ocena, czy potrzebna jest ocena skutków (DPIA) – rekomendacja: krótka notatka z uzasadnieniem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prawnik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6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Projekt produkcyjny Supabase (Frankfurt, plan Pro) i Vercel Pro (fra1); DEMO_MODE=false; ALLOW_INDEXING=true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 + Claude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7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SMSAPI: konto firmowe, zarejestrowane pole nadawcy, SMSAPI_TEST=false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8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Harmonogram powiadomień i retencji uruchomiony (scripts/supabase/harmonogram-powiadomien.sql)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Claude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zrobione (wersja testowa)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9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Procedura naruszeń i realizacji praw osób (rozdział 10) zatwierdzona, wskazana osoba odpowiedzialna i rejestr naruszeń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 + prawnik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spisana, do zatwierdzenia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10</w:t>
            </w:r>
          </w:p>
        </w:tc>
        <w:tc>
          <w:tcPr>
            <w:tcW w:type="dxa" w:w="603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Szkolenie opiekunów: dane rodzin tylko w panelu, notatki bez danych wrażliwych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założyciel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color w:val="1E2422"/>
                <w:sz w:val="19"/>
                <w:szCs w:val="19"/>
              </w:rPr>
              <w:t xml:space="preserve">do zrobienia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Procedury: naruszenia ochrony danych i wnioski osób</w:t>
      </w:r>
    </w:p>
    <w:p>
      <w:pPr>
        <w:pStyle w:val="Heading2"/>
      </w:pPr>
      <w:r>
        <w:t xml:space="preserve">10.1. Naruszenie ochrony danych (art. 33 i 34 RODO)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Naruszenie to każde zdarzenie, w którym dane mogły zostać ujawnione, zmienione albo utracone – np. wyciek klucza, błąd uprawnień, zgubiony telefon z zalogowanym panelem, SMS wysłany na zły numer.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Zgłoszenie (od razu).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Każdy, kto zauważy zdarzenie (opiekun, zakład, dostawca), zgłasza je osobie odpowiedzialnej za dane [DO UZUPEŁNIENIA] telefonicznie i e-mailem. Godzinę zgłoszenia zapisujemy – od niej liczy się 72 godziny.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Ograniczenie skutków (do 4 godzin).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Wylogowanie sesji (zmiana SESSION_SECRET), obrót kluczy (Supabase, SMSAPI, VAPID), wstrzymanie zakładu albo odebranie dostępu osobie, poprawka uprawnień nową migracją. Dziennik admin_audit i logi Vercel zachowujemy.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Ocena ryzyka (do 24 godzin).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Jakie dane, ilu osób, czy były zaszyfrowane, czy ktoś je odczytał. Dane rodzin w żałobie (telefon, dane osoby zmarłej) traktujemy jako dane o podwyższonym ryzyku.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Zakłady (do 24 godzin).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Gdy naruszenie dotyczy danych zleceń, Ostoja jako podmiot przetwarzający zawiadamia zakład (administratora) – zgodnie z umową powierzenia (rozdział 4).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UODO (do 72 godzin).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Gdy naruszenie może powodować ryzyko dla osób, zgłoszenie przez formularz na stronie UODO. Gdy nie wszystko wiadomo – zgłoszenie wstępne i uzupełnienie.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Osoby (bez zbędnej zwłoki).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Gdy ryzyko jest wysokie – SMS lub telefon do osób: co się stało, jakie dane, co zrobiliśmy, co mogą zrobić, kontakt do opiekuna.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Rejestr naruszeń.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Każde zdarzenie – także niezgłoszone do UODO – wpisujemy do rejestru: data, opis, skutki, decyzja o zgłoszeniu z uzasadnieniem, działania naprawcze [DO UZUPEŁNIENIA] (arkusz lub dokument).</w:t>
      </w:r>
    </w:p>
    <w:p>
      <w:pPr>
        <w:pStyle w:val="Heading2"/>
      </w:pPr>
      <w:r>
        <w:t xml:space="preserve">10.2. Wnioski osób (art. 15–22 RODO)</w:t>
      </w:r>
    </w:p>
    <w:p>
      <w:pPr>
        <w:spacing w:after="120" w:line="300"/>
      </w:pPr>
      <w:r>
        <w:rPr>
          <w:rFonts w:ascii="Arial" w:cs="Arial" w:eastAsia="Arial" w:hAnsi="Arial"/>
          <w:color w:val="1E2422"/>
          <w:sz w:val="21"/>
          <w:szCs w:val="21"/>
        </w:rPr>
        <w:t xml:space="preserve">Rodziny nie mają kont, więc wniosek przychodzi telefonem, e-mailem albo pismem. Jedyny identyfikator to numer telefonu z zapytania.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Przyjęcie.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Opiekun zapisuje datę wniosku (termin odpowiedzi: miesiąc, z możliwością przedłużenia o dwa miesiące z uzasadnieniem).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Tożsamość.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Oddzwaniamy na numer, którego dotyczy wniosek. Bez tego nie wydajemy ani nie usuwamy danych.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Wyszukanie.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Panel administratora → Wnioski RODO → numer telefonu. Narzędzie pokazuje zapytania i szkice w Ostoi oraz zakłady, u których jest zlecenie. Numer nie trafia do adresu strony ani do dziennika (tylko końcówka).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Dostęp i kopia (art. 15).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Przycisk „Przygotuj kopię danych” – plik JSON z zapytaniami i listą zakładów, które dostały zapytanie. Wysyłamy go osobie e-mailem albo odczytujemy przez telefon.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Usunięcie (art. 17) i sprzeciw (art. 21).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Przycisk „Usuń dane z zapytań” usuwa imię i numer z zapytań Ostoi i szkice. Zlecenia zostają – ich administratorem jest zakład, który może mieć obowiązek przechowywania (umowa, rachunki).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Dane zleceń.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Wniosek dotyczący zlecenia przekazujemy zakładowi w ciągu 2 dni (dane kontaktowe zakładu są w kopii danych) i informujemy o tym osobę. Pomagamy zakładowi technicznie, jeśli o to poprosi (umowa powierzenia, § 4).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Sprostowanie (art. 16).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Imię i numer w zapytaniu poprawia opiekun na prośbę osoby; dane zlecenia – zakład w panelu.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rFonts w:ascii="Arial" w:cs="Arial" w:eastAsia="Arial" w:hAnsi="Arial"/>
          <w:b/>
          <w:bCs/>
          <w:color w:val="1E2422"/>
          <w:sz w:val="21"/>
          <w:szCs w:val="21"/>
        </w:rPr>
        <w:t xml:space="preserve">Odpowiedź i ślad.</w:t>
      </w:r>
      <w:r>
        <w:rPr>
          <w:rFonts w:ascii="Arial" w:cs="Arial" w:eastAsia="Arial" w:hAnsi="Arial"/>
          <w:color w:val="1E2422"/>
          <w:sz w:val="21"/>
          <w:szCs w:val="21"/>
        </w:rPr>
        <w:t xml:space="preserve"> Odpowiadamy na piśmie (e-mail). W dzienniku administratora zostają wpisy „wniosek RODO – wyszukanie / eksport / usunięcie”.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6461"/>
        <w:sz w:val="16"/>
        <w:szCs w:val="16"/>
      </w:rPr>
      <w:t xml:space="preserve">Ostoja · dane osobowe i bezpieczeństwo · szkic do przeglądu · strona </w:t>
    </w:r>
    <w:r>
      <w:rPr>
        <w:rFonts w:ascii="Arial" w:cs="Arial" w:eastAsia="Arial" w:hAnsi="Arial"/>
        <w:color w:val="5C64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461"/>
        <w:sz w:val="16"/>
        <w:szCs w:val="16"/>
      </w:rPr>
      <w:t xml:space="preserve"> z </w:t>
    </w:r>
    <w:r>
      <w:rPr>
        <w:rFonts w:ascii="Arial" w:cs="Arial" w:eastAsia="Arial" w:hAnsi="Arial"/>
        <w:color w:val="5C64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300"/>
      </w:pPr>
      <w:rPr>
        <w:color w:val="A68B5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3F5650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Georgia" w:cs="Georgia" w:eastAsia="Georgia" w:hAnsi="Georgia"/>
      <w:color w:val="1E242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3F56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b2a821e4a823f20ac5fc6d364bcfa0f67c9dc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Ostoja – dane osobowe i bezpieczeństwo (szkic)</dc:title>
  <dc:creator>Ostoja</dc:creator>
  <cp:lastModifiedBy>Un-named</cp:lastModifiedBy>
  <cp:revision>1</cp:revision>
  <dcterms:created xsi:type="dcterms:W3CDTF">2026-10-16T15:06:17.479Z</dcterms:created>
  <dcterms:modified xsi:type="dcterms:W3CDTF">2026-10-16T15:06:17.480Z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