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D50" w:rsidRDefault="00E42F9A">
      <w:pPr>
        <w:spacing w:after="183" w:line="259" w:lineRule="auto"/>
        <w:ind w:left="10" w:hanging="10"/>
        <w:jc w:val="left"/>
      </w:pPr>
      <w:r>
        <w:rPr>
          <w:b/>
        </w:rPr>
        <w:t>MF 796: Computational Methods of Mathematical Finance</w:t>
      </w:r>
    </w:p>
    <w:p w:rsidR="00310D50" w:rsidRDefault="00E42F9A">
      <w:pPr>
        <w:tabs>
          <w:tab w:val="right" w:pos="9216"/>
        </w:tabs>
        <w:spacing w:after="22" w:line="259" w:lineRule="auto"/>
        <w:ind w:left="0" w:firstLine="0"/>
        <w:jc w:val="left"/>
      </w:pPr>
      <w:r>
        <w:t xml:space="preserve">Professors Christopher </w:t>
      </w:r>
      <w:proofErr w:type="spellStart"/>
      <w:r>
        <w:t>Kelliher</w:t>
      </w:r>
      <w:proofErr w:type="spellEnd"/>
      <w:r>
        <w:t xml:space="preserve"> and Eugene </w:t>
      </w:r>
      <w:proofErr w:type="spellStart"/>
      <w:r>
        <w:t>Sorets</w:t>
      </w:r>
      <w:proofErr w:type="spellEnd"/>
      <w:r>
        <w:tab/>
        <w:t>Spring 2020</w:t>
      </w:r>
    </w:p>
    <w:p w:rsidR="00310D50" w:rsidRDefault="00E42F9A">
      <w:pPr>
        <w:spacing w:after="220" w:line="259" w:lineRule="auto"/>
        <w:ind w:left="0" w:firstLine="0"/>
        <w:jc w:val="left"/>
      </w:pPr>
      <w:r>
        <w:rPr>
          <w:rFonts w:ascii="Calibri" w:eastAsia="Calibri" w:hAnsi="Calibri" w:cs="Calibri"/>
          <w:noProof/>
        </w:rPr>
        <mc:AlternateContent>
          <mc:Choice Requires="wpg">
            <w:drawing>
              <wp:inline distT="0" distB="0" distL="0" distR="0">
                <wp:extent cx="5852160" cy="5055"/>
                <wp:effectExtent l="0" t="0" r="0" b="0"/>
                <wp:docPr id="1324" name="Group 1324"/>
                <wp:cNvGraphicFramePr/>
                <a:graphic xmlns:a="http://schemas.openxmlformats.org/drawingml/2006/main">
                  <a:graphicData uri="http://schemas.microsoft.com/office/word/2010/wordprocessingGroup">
                    <wpg:wgp>
                      <wpg:cNvGrpSpPr/>
                      <wpg:grpSpPr>
                        <a:xfrm>
                          <a:off x="0" y="0"/>
                          <a:ext cx="5852160" cy="5055"/>
                          <a:chOff x="0" y="0"/>
                          <a:chExt cx="5852160" cy="5055"/>
                        </a:xfrm>
                      </wpg:grpSpPr>
                      <wps:wsp>
                        <wps:cNvPr id="8" name="Shape 8"/>
                        <wps:cNvSpPr/>
                        <wps:spPr>
                          <a:xfrm>
                            <a:off x="0" y="0"/>
                            <a:ext cx="5852160" cy="0"/>
                          </a:xfrm>
                          <a:custGeom>
                            <a:avLst/>
                            <a:gdLst/>
                            <a:ahLst/>
                            <a:cxnLst/>
                            <a:rect l="0" t="0" r="0" b="0"/>
                            <a:pathLst>
                              <a:path w="5852160">
                                <a:moveTo>
                                  <a:pt x="0" y="0"/>
                                </a:moveTo>
                                <a:lnTo>
                                  <a:pt x="58521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4" style="width:460.8pt;height:0.398pt;mso-position-horizontal-relative:char;mso-position-vertical-relative:line" coordsize="58521,50">
                <v:shape id="Shape 8" style="position:absolute;width:58521;height:0;left:0;top:0;" coordsize="5852160,0" path="m0,0l5852160,0">
                  <v:stroke weight="0.398pt" endcap="flat" joinstyle="miter" miterlimit="10" on="true" color="#000000"/>
                  <v:fill on="false" color="#000000" opacity="0"/>
                </v:shape>
              </v:group>
            </w:pict>
          </mc:Fallback>
        </mc:AlternateContent>
      </w:r>
    </w:p>
    <w:p w:rsidR="00310D50" w:rsidRDefault="00E42F9A">
      <w:pPr>
        <w:spacing w:after="60" w:line="259" w:lineRule="auto"/>
        <w:ind w:left="0" w:firstLine="0"/>
        <w:jc w:val="center"/>
      </w:pPr>
      <w:r>
        <w:rPr>
          <w:b/>
        </w:rPr>
        <w:t>Problem set # 1</w:t>
      </w:r>
    </w:p>
    <w:p w:rsidR="00310D50" w:rsidRDefault="00E42F9A">
      <w:pPr>
        <w:spacing w:after="420" w:line="265" w:lineRule="auto"/>
        <w:ind w:left="157" w:right="147" w:hanging="10"/>
        <w:jc w:val="center"/>
      </w:pPr>
      <w:r>
        <w:t>Due: Wednesday, January 29, by 8 am</w:t>
      </w:r>
    </w:p>
    <w:p w:rsidR="00310D50" w:rsidRDefault="00E42F9A">
      <w:pPr>
        <w:numPr>
          <w:ilvl w:val="0"/>
          <w:numId w:val="1"/>
        </w:numPr>
        <w:spacing w:after="199"/>
        <w:ind w:left="531" w:hanging="279"/>
        <w:jc w:val="left"/>
      </w:pPr>
      <w:r>
        <w:rPr>
          <w:b/>
        </w:rPr>
        <w:t xml:space="preserve">What areas of finance </w:t>
      </w:r>
      <w:r>
        <w:t>are of most interest to you (e.g. big data, trading, portfolio management, risk management, derivative pricing, analyzing complex derivatives)?</w:t>
      </w:r>
    </w:p>
    <w:p w:rsidR="00EE6AFB" w:rsidRPr="00EE6AFB" w:rsidRDefault="00EE6AFB" w:rsidP="00EE6AFB">
      <w:pPr>
        <w:spacing w:after="199"/>
        <w:ind w:left="531" w:firstLine="0"/>
        <w:jc w:val="left"/>
        <w:rPr>
          <w:rFonts w:ascii="Times New Roman" w:hAnsi="Times New Roman" w:cs="Times New Roman"/>
          <w:bCs/>
        </w:rPr>
      </w:pPr>
      <w:r>
        <w:rPr>
          <w:rFonts w:ascii="Times New Roman" w:hAnsi="Times New Roman" w:cs="Times New Roman" w:hint="cs"/>
          <w:bCs/>
        </w:rPr>
        <w:t>T</w:t>
      </w:r>
      <w:r>
        <w:rPr>
          <w:rFonts w:ascii="Times New Roman" w:hAnsi="Times New Roman" w:cs="Times New Roman"/>
          <w:bCs/>
        </w:rPr>
        <w:t xml:space="preserve">he areas of finance of most interest to me are big data and risk management. First of all, the big data can offer many effective skills in data analysis, and these skills will have positive effects on the financial working in the future. Moreover, I think that risk management is significant during investment job. When I work in </w:t>
      </w:r>
      <w:proofErr w:type="spellStart"/>
      <w:r>
        <w:rPr>
          <w:rFonts w:ascii="Times New Roman" w:hAnsi="Times New Roman" w:cs="Times New Roman"/>
          <w:bCs/>
        </w:rPr>
        <w:t>ZhongDe</w:t>
      </w:r>
      <w:proofErr w:type="spellEnd"/>
      <w:r>
        <w:rPr>
          <w:rFonts w:ascii="Times New Roman" w:hAnsi="Times New Roman" w:cs="Times New Roman"/>
          <w:bCs/>
        </w:rPr>
        <w:t xml:space="preserve"> Securities, my manager always </w:t>
      </w:r>
      <w:proofErr w:type="gramStart"/>
      <w:r>
        <w:rPr>
          <w:rFonts w:ascii="Times New Roman" w:hAnsi="Times New Roman" w:cs="Times New Roman"/>
          <w:bCs/>
        </w:rPr>
        <w:t>say</w:t>
      </w:r>
      <w:proofErr w:type="gramEnd"/>
      <w:r>
        <w:rPr>
          <w:rFonts w:ascii="Times New Roman" w:hAnsi="Times New Roman" w:cs="Times New Roman"/>
          <w:bCs/>
        </w:rPr>
        <w:t xml:space="preserve"> this program will have significant effects on the financial working, and this program captivated me from the decision of investment strategies.</w:t>
      </w:r>
    </w:p>
    <w:p w:rsidR="00310D50" w:rsidRPr="00EE6AFB" w:rsidRDefault="00E42F9A">
      <w:pPr>
        <w:numPr>
          <w:ilvl w:val="0"/>
          <w:numId w:val="1"/>
        </w:numPr>
        <w:spacing w:after="277" w:line="259" w:lineRule="auto"/>
        <w:ind w:left="531" w:hanging="279"/>
        <w:jc w:val="left"/>
      </w:pPr>
      <w:r>
        <w:rPr>
          <w:b/>
        </w:rPr>
        <w:t>What is the primary reason for your interest in this course?</w:t>
      </w:r>
    </w:p>
    <w:p w:rsidR="000664FC" w:rsidRPr="008F6D7F" w:rsidRDefault="00EE6AFB" w:rsidP="008F6D7F">
      <w:pPr>
        <w:spacing w:after="277" w:line="322" w:lineRule="auto"/>
        <w:ind w:left="533" w:firstLine="0"/>
        <w:jc w:val="left"/>
        <w:rPr>
          <w:rFonts w:ascii="Times New Roman" w:hAnsi="Times New Roman" w:cs="Times New Roman"/>
          <w:bCs/>
        </w:rPr>
      </w:pPr>
      <w:r>
        <w:rPr>
          <w:rFonts w:hint="eastAsia"/>
        </w:rPr>
        <w:t>T</w:t>
      </w:r>
      <w:r w:rsidRPr="008F6D7F">
        <w:rPr>
          <w:rFonts w:ascii="Times New Roman" w:hAnsi="Times New Roman" w:cs="Times New Roman"/>
          <w:bCs/>
        </w:rPr>
        <w:t xml:space="preserve">he primary </w:t>
      </w:r>
      <w:r w:rsidR="00AA64CB" w:rsidRPr="008F6D7F">
        <w:rPr>
          <w:rFonts w:ascii="Times New Roman" w:hAnsi="Times New Roman" w:cs="Times New Roman"/>
          <w:bCs/>
        </w:rPr>
        <w:t xml:space="preserve">reason is that </w:t>
      </w:r>
      <w:r w:rsidR="000664FC" w:rsidRPr="008F6D7F">
        <w:rPr>
          <w:rFonts w:ascii="Times New Roman" w:hAnsi="Times New Roman" w:cs="Times New Roman"/>
          <w:bCs/>
        </w:rPr>
        <w:t xml:space="preserve">this course includes that many computational problems in financial institutions, and these skills will help me to increase efficiency in financial working. On the other hands, this course will have a program and it will involve many the applications of programming technique, these factors will be an important treasure in the financial working in the future.  </w:t>
      </w:r>
    </w:p>
    <w:p w:rsidR="00310D50" w:rsidRDefault="00E42F9A">
      <w:pPr>
        <w:numPr>
          <w:ilvl w:val="0"/>
          <w:numId w:val="1"/>
        </w:numPr>
        <w:spacing w:after="277" w:line="259" w:lineRule="auto"/>
        <w:ind w:left="531" w:hanging="279"/>
        <w:jc w:val="left"/>
      </w:pPr>
      <w:r>
        <w:rPr>
          <w:b/>
        </w:rPr>
        <w:t xml:space="preserve">List all programming languages you have used </w:t>
      </w:r>
      <w:r>
        <w:t>and your level of familiarity with each.</w:t>
      </w:r>
    </w:p>
    <w:p w:rsidR="00C20D86" w:rsidRPr="00C20D86" w:rsidRDefault="00C20D86" w:rsidP="00E64BC8">
      <w:pPr>
        <w:spacing w:after="277" w:line="322" w:lineRule="auto"/>
        <w:ind w:left="533" w:firstLine="0"/>
        <w:jc w:val="left"/>
        <w:rPr>
          <w:rFonts w:ascii="Times New Roman" w:hAnsi="Times New Roman" w:cs="Times New Roman"/>
          <w:bCs/>
        </w:rPr>
      </w:pPr>
      <w:r>
        <w:rPr>
          <w:rFonts w:ascii="Times New Roman" w:hAnsi="Times New Roman" w:cs="Times New Roman" w:hint="cs"/>
          <w:bCs/>
        </w:rPr>
        <w:t>I</w:t>
      </w:r>
      <w:r>
        <w:rPr>
          <w:rFonts w:ascii="Times New Roman" w:hAnsi="Times New Roman" w:cs="Times New Roman"/>
          <w:bCs/>
        </w:rPr>
        <w:t xml:space="preserve"> have used two programming languages include that R and Python, and I am better in Python than R.  </w:t>
      </w:r>
    </w:p>
    <w:p w:rsidR="00310D50" w:rsidRDefault="00E42F9A">
      <w:pPr>
        <w:numPr>
          <w:ilvl w:val="0"/>
          <w:numId w:val="1"/>
        </w:numPr>
        <w:spacing w:after="183" w:line="350" w:lineRule="auto"/>
        <w:ind w:left="531" w:hanging="279"/>
        <w:jc w:val="left"/>
      </w:pPr>
      <w:r>
        <w:rPr>
          <w:b/>
        </w:rPr>
        <w:t xml:space="preserve">Option traders often say that when buying </w:t>
      </w:r>
      <w:proofErr w:type="gramStart"/>
      <w:r>
        <w:rPr>
          <w:b/>
        </w:rPr>
        <w:t>options</w:t>
      </w:r>
      <w:proofErr w:type="gramEnd"/>
      <w:r>
        <w:rPr>
          <w:b/>
        </w:rPr>
        <w:t xml:space="preserve"> we get gamma at the expense of theta. </w:t>
      </w:r>
      <w:r>
        <w:t>What do you think they mean?</w:t>
      </w:r>
    </w:p>
    <w:p w:rsidR="00D07928" w:rsidRDefault="00D07928" w:rsidP="00D07928">
      <w:pPr>
        <w:spacing w:after="183" w:line="350" w:lineRule="auto"/>
        <w:ind w:left="531" w:firstLine="0"/>
        <w:jc w:val="left"/>
        <w:rPr>
          <w:rFonts w:ascii="Times New Roman" w:hAnsi="Times New Roman" w:cs="Times New Roman"/>
        </w:rPr>
      </w:pPr>
      <w:r>
        <w:rPr>
          <w:rFonts w:ascii="Times New Roman" w:hAnsi="Times New Roman" w:cs="Times New Roman" w:hint="cs"/>
        </w:rPr>
        <w:t>O</w:t>
      </w:r>
      <w:r>
        <w:rPr>
          <w:rFonts w:ascii="Times New Roman" w:hAnsi="Times New Roman" w:cs="Times New Roman"/>
        </w:rPr>
        <w:t xml:space="preserve">ption traders often say that when buying </w:t>
      </w:r>
      <w:proofErr w:type="gramStart"/>
      <w:r>
        <w:rPr>
          <w:rFonts w:ascii="Times New Roman" w:hAnsi="Times New Roman" w:cs="Times New Roman"/>
        </w:rPr>
        <w:t>options</w:t>
      </w:r>
      <w:proofErr w:type="gramEnd"/>
      <w:r>
        <w:rPr>
          <w:rFonts w:ascii="Times New Roman" w:hAnsi="Times New Roman" w:cs="Times New Roman"/>
        </w:rPr>
        <w:t xml:space="preserve"> we get gamma at the expense of theta, because they believe that Black-Scholes models can explain the process of buying options. </w:t>
      </w:r>
      <w:r>
        <w:rPr>
          <w:rFonts w:ascii="Times New Roman" w:hAnsi="Times New Roman" w:cs="Times New Roman" w:hint="eastAsia"/>
        </w:rPr>
        <w:t>B</w:t>
      </w:r>
      <w:r>
        <w:rPr>
          <w:rFonts w:ascii="Times New Roman" w:hAnsi="Times New Roman" w:cs="Times New Roman"/>
        </w:rPr>
        <w:t xml:space="preserve">y the Black-Scholes models, we can get </w:t>
      </w:r>
    </w:p>
    <w:p w:rsidR="00D07928" w:rsidRPr="00731B4D" w:rsidRDefault="002C675A" w:rsidP="00D07928">
      <w:pPr>
        <w:spacing w:after="183" w:line="350" w:lineRule="auto"/>
        <w:ind w:left="531" w:firstLine="0"/>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2</m:t>
              </m:r>
            </m:sup>
          </m:sSubSup>
          <m:f>
            <m:fPr>
              <m:ctrlPr>
                <w:rPr>
                  <w:rFonts w:ascii="Cambria Math" w:hAnsi="Cambria Math" w:cs="Times New Roman"/>
                  <w:i/>
                </w:rPr>
              </m:ctrlPr>
            </m:fPr>
            <m:num>
              <m:r>
                <w:rPr>
                  <w:rFonts w:ascii="Cambria Math" w:hAnsi="Cambria Math" w:cs="Times New Roman"/>
                </w:rPr>
                <m:t>∂</m:t>
              </m:r>
              <m:sPre>
                <m:sPrePr>
                  <m:ctrlPr>
                    <w:rPr>
                      <w:rFonts w:ascii="Cambria Math" w:hAnsi="Cambria Math" w:cs="Times New Roman"/>
                      <w:i/>
                    </w:rPr>
                  </m:ctrlPr>
                </m:sPrePr>
                <m:sub/>
                <m:sup>
                  <m:r>
                    <w:rPr>
                      <w:rFonts w:ascii="Cambria Math" w:hAnsi="Cambria Math" w:cs="Times New Roman"/>
                    </w:rPr>
                    <m:t>2</m:t>
                  </m:r>
                </m:sup>
                <m:e>
                  <m:r>
                    <w:rPr>
                      <w:rFonts w:ascii="Cambria Math" w:hAnsi="Cambria Math" w:cs="Times New Roman"/>
                    </w:rPr>
                    <m:t>G</m:t>
                  </m:r>
                </m:e>
              </m:sPre>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2</m:t>
                  </m:r>
                </m:sup>
              </m:sSubSup>
            </m:den>
          </m:f>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m:rPr>
              <m:sty m:val="p"/>
            </m:rPr>
            <w:rPr>
              <w:rFonts w:ascii="Cambria Math" w:hAnsi="Cambria Math" w:cs="Times New Roman"/>
            </w:rPr>
            <m:t>Δ</m:t>
          </m:r>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=0</m:t>
          </m:r>
        </m:oMath>
      </m:oMathPara>
    </w:p>
    <w:p w:rsidR="00731B4D" w:rsidRDefault="00731B4D" w:rsidP="00731B4D">
      <w:pPr>
        <w:spacing w:after="183" w:line="350" w:lineRule="auto"/>
        <w:ind w:left="531" w:firstLine="0"/>
        <w:rPr>
          <w:rFonts w:ascii="Times New Roman" w:hAnsi="Times New Roman" w:cs="Times New Roman"/>
        </w:rPr>
      </w:pPr>
    </w:p>
    <w:p w:rsidR="00731B4D" w:rsidRDefault="00731B4D" w:rsidP="00731B4D">
      <w:pPr>
        <w:spacing w:after="183" w:line="350" w:lineRule="auto"/>
        <w:ind w:left="531" w:firstLine="0"/>
        <w:rPr>
          <w:rFonts w:ascii="Times New Roman" w:hAnsi="Times New Roman" w:cs="Times New Roman"/>
        </w:rPr>
      </w:pPr>
    </w:p>
    <w:p w:rsidR="00731B4D" w:rsidRDefault="00731B4D" w:rsidP="00731B4D">
      <w:pPr>
        <w:spacing w:after="183" w:line="350" w:lineRule="auto"/>
        <w:ind w:left="531" w:firstLine="0"/>
        <w:rPr>
          <w:rFonts w:ascii="Times New Roman" w:hAnsi="Times New Roman" w:cs="Times New Roman"/>
        </w:rPr>
      </w:pPr>
      <w:r>
        <w:rPr>
          <w:rFonts w:ascii="Times New Roman" w:hAnsi="Times New Roman" w:cs="Times New Roman" w:hint="cs"/>
        </w:rPr>
        <w:lastRenderedPageBreak/>
        <w:t>I</w:t>
      </w:r>
      <w:r>
        <w:rPr>
          <w:rFonts w:ascii="Times New Roman" w:hAnsi="Times New Roman" w:cs="Times New Roman"/>
        </w:rPr>
        <w:t xml:space="preserve">n here we can use gamma and theta to replace the partial derivatives, like </w:t>
      </w:r>
    </w:p>
    <w:p w:rsidR="00731B4D" w:rsidRPr="00B1263D" w:rsidRDefault="00B1263D" w:rsidP="00731B4D">
      <w:pPr>
        <w:spacing w:after="183" w:line="350" w:lineRule="auto"/>
        <w:ind w:left="531" w:firstLine="0"/>
        <w:jc w:val="center"/>
        <w:rPr>
          <w:rFonts w:ascii="Times New Roman" w:hAnsi="Times New Roman" w:cs="Times New Roman"/>
        </w:rPr>
      </w:pPr>
      <m:oMathPara>
        <m:oMath>
          <m:r>
            <w:rPr>
              <w:rFonts w:ascii="Cambria Math" w:hAnsi="Cambria Math" w:cs="Times New Roman"/>
            </w:rPr>
            <m:t xml:space="preserve">θ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2</m:t>
              </m:r>
            </m:sup>
          </m:sSubSup>
          <m:r>
            <m:rPr>
              <m:sty m:val="p"/>
            </m:rPr>
            <w:rPr>
              <w:rFonts w:ascii="Cambria Math" w:hAnsi="Cambria Math" w:cs="Times New Roman"/>
            </w:rPr>
            <m:t>Γ</m:t>
          </m:r>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m:rPr>
              <m:sty m:val="p"/>
            </m:rPr>
            <w:rPr>
              <w:rFonts w:ascii="Cambria Math" w:hAnsi="Cambria Math" w:cs="Times New Roman"/>
            </w:rPr>
            <m:t>Δ</m:t>
          </m:r>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=0</m:t>
          </m:r>
        </m:oMath>
      </m:oMathPara>
    </w:p>
    <w:p w:rsidR="00955F9A" w:rsidRPr="00B1263D" w:rsidRDefault="00955F9A" w:rsidP="00955F9A">
      <w:pPr>
        <w:spacing w:after="183" w:line="350" w:lineRule="auto"/>
        <w:ind w:left="531" w:firstLine="0"/>
        <w:rPr>
          <w:rFonts w:ascii="Times New Roman" w:hAnsi="Times New Roman" w:cs="Times New Roman"/>
        </w:rPr>
      </w:pPr>
      <w:r>
        <w:rPr>
          <w:rFonts w:ascii="Times New Roman" w:hAnsi="Times New Roman" w:cs="Times New Roman"/>
        </w:rPr>
        <w:t xml:space="preserve">By the increasing in </w:t>
      </w:r>
      <m:oMath>
        <m:r>
          <m:rPr>
            <m:sty m:val="p"/>
          </m:rPr>
          <w:rPr>
            <w:rFonts w:ascii="Cambria Math" w:hAnsi="Cambria Math" w:cs="Times New Roman"/>
          </w:rPr>
          <m:t>Γ</m:t>
        </m:r>
      </m:oMath>
      <w:r>
        <w:rPr>
          <w:rFonts w:ascii="Times New Roman" w:hAnsi="Times New Roman" w:cs="Times New Roman"/>
        </w:rPr>
        <w:t xml:space="preserve"> ,  </w:t>
      </w:r>
      <m:oMath>
        <m:r>
          <w:rPr>
            <w:rFonts w:ascii="Cambria Math" w:hAnsi="Cambria Math" w:cs="Times New Roman"/>
          </w:rPr>
          <m:t>θ</m:t>
        </m:r>
      </m:oMath>
      <w:r>
        <w:rPr>
          <w:rFonts w:ascii="Times New Roman" w:hAnsi="Times New Roman" w:cs="Times New Roman"/>
        </w:rPr>
        <w:t xml:space="preserve"> will be larger. </w:t>
      </w:r>
      <w:r w:rsidR="00B1263D">
        <w:rPr>
          <w:rFonts w:ascii="Times New Roman" w:hAnsi="Times New Roman" w:cs="Times New Roman"/>
        </w:rPr>
        <w:t>Obviously, the g</w:t>
      </w:r>
      <w:r>
        <w:rPr>
          <w:rFonts w:ascii="Times New Roman" w:hAnsi="Times New Roman" w:cs="Times New Roman"/>
        </w:rPr>
        <w:t xml:space="preserve">amma will increase at the expense of theta. Therefore, option traders often say that when buying </w:t>
      </w:r>
      <w:proofErr w:type="gramStart"/>
      <w:r>
        <w:rPr>
          <w:rFonts w:ascii="Times New Roman" w:hAnsi="Times New Roman" w:cs="Times New Roman"/>
        </w:rPr>
        <w:t>options</w:t>
      </w:r>
      <w:proofErr w:type="gramEnd"/>
      <w:r>
        <w:rPr>
          <w:rFonts w:ascii="Times New Roman" w:hAnsi="Times New Roman" w:cs="Times New Roman"/>
        </w:rPr>
        <w:t xml:space="preserve"> we get gamma at the expense of theta.</w:t>
      </w:r>
    </w:p>
    <w:p w:rsidR="00731B4D" w:rsidRPr="00731B4D" w:rsidRDefault="00731B4D" w:rsidP="00731B4D">
      <w:pPr>
        <w:spacing w:after="183" w:line="350" w:lineRule="auto"/>
        <w:ind w:left="531" w:firstLine="0"/>
        <w:jc w:val="center"/>
        <w:rPr>
          <w:rFonts w:ascii="Times New Roman" w:hAnsi="Times New Roman" w:cs="Times New Roman"/>
        </w:rPr>
      </w:pPr>
    </w:p>
    <w:p w:rsidR="00310D50" w:rsidRDefault="00E42F9A">
      <w:pPr>
        <w:numPr>
          <w:ilvl w:val="0"/>
          <w:numId w:val="1"/>
        </w:numPr>
        <w:spacing w:after="383" w:line="259" w:lineRule="auto"/>
        <w:ind w:left="531" w:hanging="279"/>
        <w:jc w:val="left"/>
      </w:pPr>
      <w:r>
        <w:rPr>
          <w:b/>
        </w:rPr>
        <w:t>Consider the CEV Model:</w:t>
      </w:r>
    </w:p>
    <w:p w:rsidR="00921C43" w:rsidRDefault="00E42F9A">
      <w:pPr>
        <w:spacing w:line="259" w:lineRule="auto"/>
        <w:ind w:left="545" w:right="2328" w:firstLine="3080"/>
        <w:rPr>
          <w:i/>
          <w:vertAlign w:val="subscript"/>
        </w:rPr>
      </w:pPr>
      <w:proofErr w:type="spellStart"/>
      <w:r>
        <w:rPr>
          <w:i/>
        </w:rPr>
        <w:t>dS</w:t>
      </w:r>
      <w:r>
        <w:rPr>
          <w:i/>
          <w:vertAlign w:val="subscript"/>
        </w:rPr>
        <w:t>t</w:t>
      </w:r>
      <w:proofErr w:type="spellEnd"/>
      <w:r>
        <w:rPr>
          <w:i/>
          <w:vertAlign w:val="subscript"/>
        </w:rPr>
        <w:t xml:space="preserve"> </w:t>
      </w:r>
      <w:r>
        <w:t xml:space="preserve">= </w:t>
      </w:r>
      <w:proofErr w:type="spellStart"/>
      <w:r>
        <w:rPr>
          <w:i/>
        </w:rPr>
        <w:t>rS</w:t>
      </w:r>
      <w:r>
        <w:rPr>
          <w:i/>
          <w:vertAlign w:val="subscript"/>
        </w:rPr>
        <w:t>t</w:t>
      </w:r>
      <w:proofErr w:type="spellEnd"/>
      <w:r>
        <w:rPr>
          <w:i/>
          <w:vertAlign w:val="subscript"/>
        </w:rPr>
        <w:t xml:space="preserve"> </w:t>
      </w:r>
      <w:r>
        <w:rPr>
          <w:i/>
        </w:rPr>
        <w:t xml:space="preserve">dt </w:t>
      </w:r>
      <w:r>
        <w:t xml:space="preserve">+ </w:t>
      </w:r>
      <w:proofErr w:type="spellStart"/>
      <w:r>
        <w:rPr>
          <w:i/>
        </w:rPr>
        <w:t>σS</w:t>
      </w:r>
      <w:r>
        <w:rPr>
          <w:i/>
          <w:vertAlign w:val="subscript"/>
        </w:rPr>
        <w:t>t</w:t>
      </w:r>
      <w:proofErr w:type="spellEnd"/>
      <w:r>
        <w:rPr>
          <w:i/>
          <w:vertAlign w:val="superscript"/>
        </w:rPr>
        <w:t xml:space="preserve">β </w:t>
      </w:r>
      <w:proofErr w:type="spellStart"/>
      <w:r>
        <w:rPr>
          <w:i/>
        </w:rPr>
        <w:t>dW</w:t>
      </w:r>
      <w:r>
        <w:rPr>
          <w:i/>
          <w:vertAlign w:val="subscript"/>
        </w:rPr>
        <w:t>t</w:t>
      </w:r>
      <w:proofErr w:type="spellEnd"/>
      <w:r>
        <w:rPr>
          <w:i/>
          <w:vertAlign w:val="subscript"/>
        </w:rPr>
        <w:t xml:space="preserve"> </w:t>
      </w:r>
    </w:p>
    <w:p w:rsidR="00310D50" w:rsidRDefault="00E42F9A" w:rsidP="00921C43">
      <w:pPr>
        <w:spacing w:line="259" w:lineRule="auto"/>
        <w:ind w:left="545" w:right="2328" w:firstLine="0"/>
      </w:pPr>
      <w:r>
        <w:t>Assume a CEV model that is defined by the following parameters:</w:t>
      </w:r>
    </w:p>
    <w:tbl>
      <w:tblPr>
        <w:tblStyle w:val="TableGrid"/>
        <w:tblW w:w="4958" w:type="dxa"/>
        <w:tblInd w:w="4258" w:type="dxa"/>
        <w:tblLook w:val="04A0" w:firstRow="1" w:lastRow="0" w:firstColumn="1" w:lastColumn="0" w:noHBand="0" w:noVBand="1"/>
      </w:tblPr>
      <w:tblGrid>
        <w:gridCol w:w="4668"/>
        <w:gridCol w:w="290"/>
      </w:tblGrid>
      <w:tr w:rsidR="00310D50">
        <w:trPr>
          <w:trHeight w:val="307"/>
        </w:trPr>
        <w:tc>
          <w:tcPr>
            <w:tcW w:w="4679" w:type="dxa"/>
            <w:tcBorders>
              <w:top w:val="nil"/>
              <w:left w:val="nil"/>
              <w:bottom w:val="nil"/>
              <w:right w:val="nil"/>
            </w:tcBorders>
          </w:tcPr>
          <w:p w:rsidR="00310D50" w:rsidRDefault="00E42F9A">
            <w:pPr>
              <w:spacing w:after="0" w:line="259" w:lineRule="auto"/>
              <w:ind w:left="0" w:firstLine="0"/>
              <w:jc w:val="left"/>
            </w:pPr>
            <w:r>
              <w:rPr>
                <w:i/>
              </w:rPr>
              <w:t>S</w:t>
            </w:r>
            <w:r>
              <w:rPr>
                <w:vertAlign w:val="subscript"/>
              </w:rPr>
              <w:t xml:space="preserve">0 </w:t>
            </w:r>
            <w:r>
              <w:t>= 100</w:t>
            </w:r>
          </w:p>
        </w:tc>
        <w:tc>
          <w:tcPr>
            <w:tcW w:w="279" w:type="dxa"/>
            <w:tcBorders>
              <w:top w:val="nil"/>
              <w:left w:val="nil"/>
              <w:bottom w:val="nil"/>
              <w:right w:val="nil"/>
            </w:tcBorders>
          </w:tcPr>
          <w:p w:rsidR="00310D50" w:rsidRDefault="00E42F9A">
            <w:pPr>
              <w:spacing w:after="0" w:line="259" w:lineRule="auto"/>
              <w:ind w:left="0" w:firstLine="0"/>
            </w:pPr>
            <w:r>
              <w:t>(1)</w:t>
            </w:r>
          </w:p>
        </w:tc>
      </w:tr>
      <w:tr w:rsidR="00310D50">
        <w:trPr>
          <w:trHeight w:val="388"/>
        </w:trPr>
        <w:tc>
          <w:tcPr>
            <w:tcW w:w="4679" w:type="dxa"/>
            <w:tcBorders>
              <w:top w:val="nil"/>
              <w:left w:val="nil"/>
              <w:bottom w:val="nil"/>
              <w:right w:val="nil"/>
            </w:tcBorders>
          </w:tcPr>
          <w:p w:rsidR="00310D50" w:rsidRDefault="00E42F9A">
            <w:pPr>
              <w:spacing w:after="0" w:line="259" w:lineRule="auto"/>
              <w:ind w:left="172" w:firstLine="0"/>
              <w:jc w:val="left"/>
            </w:pPr>
            <w:r>
              <w:rPr>
                <w:i/>
              </w:rPr>
              <w:t xml:space="preserve">r </w:t>
            </w:r>
            <w:r>
              <w:t>= 0</w:t>
            </w:r>
            <w:r>
              <w:rPr>
                <w:i/>
              </w:rPr>
              <w:t>.</w:t>
            </w:r>
            <w:r>
              <w:t>0</w:t>
            </w:r>
          </w:p>
        </w:tc>
        <w:tc>
          <w:tcPr>
            <w:tcW w:w="279" w:type="dxa"/>
            <w:tcBorders>
              <w:top w:val="nil"/>
              <w:left w:val="nil"/>
              <w:bottom w:val="nil"/>
              <w:right w:val="nil"/>
            </w:tcBorders>
          </w:tcPr>
          <w:p w:rsidR="00310D50" w:rsidRDefault="00E42F9A">
            <w:pPr>
              <w:spacing w:after="0" w:line="259" w:lineRule="auto"/>
              <w:ind w:left="0" w:firstLine="0"/>
            </w:pPr>
            <w:r>
              <w:t>(2)</w:t>
            </w:r>
          </w:p>
        </w:tc>
      </w:tr>
      <w:tr w:rsidR="00310D50">
        <w:trPr>
          <w:trHeight w:val="399"/>
        </w:trPr>
        <w:tc>
          <w:tcPr>
            <w:tcW w:w="4679" w:type="dxa"/>
            <w:tcBorders>
              <w:top w:val="nil"/>
              <w:left w:val="nil"/>
              <w:bottom w:val="nil"/>
              <w:right w:val="nil"/>
            </w:tcBorders>
            <w:vAlign w:val="center"/>
          </w:tcPr>
          <w:p w:rsidR="00310D50" w:rsidRDefault="00E42F9A">
            <w:pPr>
              <w:spacing w:after="0" w:line="259" w:lineRule="auto"/>
              <w:ind w:left="142" w:firstLine="0"/>
              <w:jc w:val="left"/>
            </w:pPr>
            <w:r>
              <w:rPr>
                <w:i/>
              </w:rPr>
              <w:t xml:space="preserve">β </w:t>
            </w:r>
            <w:r>
              <w:t>= 1</w:t>
            </w:r>
            <w:r>
              <w:rPr>
                <w:i/>
              </w:rPr>
              <w:t>.</w:t>
            </w:r>
            <w:r>
              <w:t>0</w:t>
            </w:r>
          </w:p>
        </w:tc>
        <w:tc>
          <w:tcPr>
            <w:tcW w:w="279" w:type="dxa"/>
            <w:tcBorders>
              <w:top w:val="nil"/>
              <w:left w:val="nil"/>
              <w:bottom w:val="nil"/>
              <w:right w:val="nil"/>
            </w:tcBorders>
            <w:vAlign w:val="center"/>
          </w:tcPr>
          <w:p w:rsidR="00310D50" w:rsidRDefault="00E42F9A">
            <w:pPr>
              <w:spacing w:after="0" w:line="259" w:lineRule="auto"/>
              <w:ind w:left="0" w:firstLine="0"/>
            </w:pPr>
            <w:r>
              <w:t>(3)</w:t>
            </w:r>
          </w:p>
        </w:tc>
      </w:tr>
      <w:tr w:rsidR="00310D50">
        <w:trPr>
          <w:trHeight w:val="296"/>
        </w:trPr>
        <w:tc>
          <w:tcPr>
            <w:tcW w:w="4679" w:type="dxa"/>
            <w:tcBorders>
              <w:top w:val="nil"/>
              <w:left w:val="nil"/>
              <w:bottom w:val="nil"/>
              <w:right w:val="nil"/>
            </w:tcBorders>
            <w:vAlign w:val="bottom"/>
          </w:tcPr>
          <w:p w:rsidR="00310D50" w:rsidRDefault="00E42F9A">
            <w:pPr>
              <w:spacing w:after="0" w:line="259" w:lineRule="auto"/>
              <w:ind w:left="35" w:firstLine="0"/>
              <w:jc w:val="left"/>
            </w:pPr>
            <w:r>
              <w:rPr>
                <w:i/>
              </w:rPr>
              <w:t xml:space="preserve">σ </w:t>
            </w:r>
            <w:r>
              <w:t>= 0</w:t>
            </w:r>
            <w:r>
              <w:rPr>
                <w:i/>
              </w:rPr>
              <w:t>.</w:t>
            </w:r>
            <w:r>
              <w:t>25</w:t>
            </w:r>
          </w:p>
        </w:tc>
        <w:tc>
          <w:tcPr>
            <w:tcW w:w="279" w:type="dxa"/>
            <w:tcBorders>
              <w:top w:val="nil"/>
              <w:left w:val="nil"/>
              <w:bottom w:val="nil"/>
              <w:right w:val="nil"/>
            </w:tcBorders>
            <w:vAlign w:val="bottom"/>
          </w:tcPr>
          <w:p w:rsidR="00310D50" w:rsidRDefault="00E42F9A">
            <w:pPr>
              <w:spacing w:after="0" w:line="259" w:lineRule="auto"/>
              <w:ind w:left="0" w:firstLine="0"/>
            </w:pPr>
            <w:r>
              <w:t>(4)</w:t>
            </w:r>
          </w:p>
        </w:tc>
      </w:tr>
    </w:tbl>
    <w:p w:rsidR="00310D50" w:rsidRDefault="00E42F9A">
      <w:pPr>
        <w:numPr>
          <w:ilvl w:val="1"/>
          <w:numId w:val="1"/>
        </w:numPr>
        <w:spacing w:after="140" w:line="259" w:lineRule="auto"/>
        <w:ind w:hanging="400"/>
      </w:pPr>
      <w:r>
        <w:t>Describe what each model parameter does.</w:t>
      </w:r>
    </w:p>
    <w:p w:rsidR="001D2A57" w:rsidRPr="002E5CA2" w:rsidRDefault="001D2A57" w:rsidP="00955F9A">
      <w:pPr>
        <w:spacing w:after="140" w:line="259" w:lineRule="auto"/>
        <w:ind w:left="1035" w:firstLine="0"/>
        <w:rPr>
          <w:rFonts w:ascii="Times New Roman" w:hAnsi="Times New Roman" w:cs="Times New Roman"/>
        </w:rPr>
      </w:pPr>
      <w:r w:rsidRPr="002E5CA2">
        <w:rPr>
          <w:rFonts w:ascii="Times New Roman" w:hAnsi="Times New Roman" w:cs="Times New Roman"/>
          <w:i/>
        </w:rPr>
        <w:t>S</w:t>
      </w:r>
      <w:r w:rsidRPr="002E5CA2">
        <w:rPr>
          <w:rFonts w:ascii="Times New Roman" w:hAnsi="Times New Roman" w:cs="Times New Roman"/>
          <w:vertAlign w:val="subscript"/>
        </w:rPr>
        <w:t xml:space="preserve">0 </w:t>
      </w:r>
      <w:r w:rsidRPr="002E5CA2">
        <w:rPr>
          <w:rFonts w:ascii="Times New Roman" w:hAnsi="Times New Roman" w:cs="Times New Roman"/>
        </w:rPr>
        <w:t>is initial price, and S is the spot price of underlying asset</w:t>
      </w:r>
    </w:p>
    <w:p w:rsidR="003C3DA0" w:rsidRPr="002E5CA2" w:rsidRDefault="001D2A57" w:rsidP="003C3DA0">
      <w:pPr>
        <w:spacing w:after="140" w:line="259" w:lineRule="auto"/>
        <w:ind w:left="1035" w:firstLine="0"/>
        <w:rPr>
          <w:rFonts w:ascii="Times New Roman" w:hAnsi="Times New Roman" w:cs="Times New Roman"/>
          <w:iCs/>
        </w:rPr>
      </w:pPr>
      <w:r w:rsidRPr="002E5CA2">
        <w:rPr>
          <w:rFonts w:ascii="Times New Roman" w:hAnsi="Times New Roman" w:cs="Times New Roman"/>
          <w:i/>
        </w:rPr>
        <w:t xml:space="preserve">r </w:t>
      </w:r>
      <w:r w:rsidRPr="002E5CA2">
        <w:rPr>
          <w:rFonts w:ascii="Times New Roman" w:hAnsi="Times New Roman" w:cs="Times New Roman"/>
          <w:iCs/>
        </w:rPr>
        <w:t xml:space="preserve">is </w:t>
      </w:r>
      <w:r w:rsidR="003C3DA0" w:rsidRPr="002E5CA2">
        <w:rPr>
          <w:rFonts w:ascii="Times New Roman" w:hAnsi="Times New Roman" w:cs="Times New Roman"/>
          <w:iCs/>
        </w:rPr>
        <w:t>the risk-free rate</w:t>
      </w:r>
    </w:p>
    <w:p w:rsidR="003C3DA0" w:rsidRPr="002E5CA2" w:rsidRDefault="003C3DA0" w:rsidP="003C3DA0">
      <w:pPr>
        <w:spacing w:after="140" w:line="259" w:lineRule="auto"/>
        <w:ind w:left="1035" w:firstLine="0"/>
        <w:rPr>
          <w:rFonts w:ascii="Times New Roman" w:hAnsi="Times New Roman" w:cs="Times New Roman"/>
          <w:iCs/>
        </w:rPr>
      </w:pPr>
      <w:r w:rsidRPr="002E5CA2">
        <w:rPr>
          <w:rFonts w:ascii="Times New Roman" w:hAnsi="Times New Roman" w:cs="Times New Roman"/>
          <w:i/>
        </w:rPr>
        <w:t>β</w:t>
      </w:r>
      <w:r w:rsidR="001D2A57" w:rsidRPr="002E5CA2">
        <w:rPr>
          <w:rFonts w:ascii="Times New Roman" w:hAnsi="Times New Roman" w:cs="Times New Roman"/>
          <w:i/>
        </w:rPr>
        <w:tab/>
      </w:r>
      <w:r w:rsidRPr="002E5CA2">
        <w:rPr>
          <w:rFonts w:ascii="Times New Roman" w:hAnsi="Times New Roman" w:cs="Times New Roman"/>
          <w:iCs/>
        </w:rPr>
        <w:t xml:space="preserve">is positive constant </w:t>
      </w:r>
    </w:p>
    <w:p w:rsidR="00955F9A" w:rsidRPr="003C3DA0" w:rsidRDefault="003C3DA0" w:rsidP="003C3DA0">
      <w:pPr>
        <w:spacing w:after="140" w:line="259" w:lineRule="auto"/>
        <w:ind w:left="1035" w:firstLine="0"/>
        <w:rPr>
          <w:iCs/>
        </w:rPr>
      </w:pPr>
      <w:r w:rsidRPr="002E5CA2">
        <w:rPr>
          <w:rFonts w:ascii="Times New Roman" w:hAnsi="Times New Roman" w:cs="Times New Roman"/>
          <w:i/>
        </w:rPr>
        <w:t xml:space="preserve">σ </w:t>
      </w:r>
      <w:r w:rsidRPr="002E5CA2">
        <w:rPr>
          <w:rFonts w:ascii="Times New Roman" w:hAnsi="Times New Roman" w:cs="Times New Roman"/>
          <w:iCs/>
        </w:rPr>
        <w:t xml:space="preserve">is a volatility parameter </w:t>
      </w:r>
      <w:r w:rsidR="001D2A57">
        <w:rPr>
          <w:i/>
        </w:rPr>
        <w:tab/>
      </w:r>
      <w:r w:rsidR="001D2A57">
        <w:t xml:space="preserve"> </w:t>
      </w:r>
    </w:p>
    <w:p w:rsidR="00310D50" w:rsidRDefault="00E42F9A">
      <w:pPr>
        <w:numPr>
          <w:ilvl w:val="1"/>
          <w:numId w:val="1"/>
        </w:numPr>
        <w:ind w:hanging="400"/>
      </w:pPr>
      <w:r>
        <w:t xml:space="preserve">Price an at-the-money one year European call option via Monte Carlo </w:t>
      </w:r>
      <w:proofErr w:type="gramStart"/>
      <w:r>
        <w:t>simulation.(</w:t>
      </w:r>
      <w:proofErr w:type="gramEnd"/>
      <w:r>
        <w:t>HINT: Increments of Brownian Motion are distributed normally with mean 0 and variance dt. One approach is to construct a set of paths by generating random normal variables to use as the increments of the Brownian Motion)</w:t>
      </w:r>
    </w:p>
    <w:p w:rsidR="003C3DA0" w:rsidRDefault="003C3DA0" w:rsidP="003C3DA0">
      <w:pPr>
        <w:ind w:left="1035" w:firstLine="0"/>
      </w:pPr>
      <w:r w:rsidRPr="002E5CA2">
        <w:rPr>
          <w:rFonts w:ascii="Times New Roman" w:hAnsi="Times New Roman" w:cs="Times New Roman"/>
        </w:rPr>
        <w:t>The code at the attachment</w:t>
      </w:r>
      <w:r>
        <w:t>.</w:t>
      </w:r>
    </w:p>
    <w:p w:rsidR="00310D50" w:rsidRDefault="00E42F9A">
      <w:pPr>
        <w:numPr>
          <w:ilvl w:val="1"/>
          <w:numId w:val="1"/>
        </w:numPr>
        <w:ind w:hanging="400"/>
      </w:pPr>
      <w:r>
        <w:t>Calculate the price of the same European call option via the Black-Scholes formula. Is</w:t>
      </w:r>
      <w:r w:rsidR="002645EC">
        <w:t xml:space="preserve"> </w:t>
      </w:r>
      <w:r>
        <w:t>this price the same as you obtained via simulation? Should it be? Why or why not?</w:t>
      </w:r>
    </w:p>
    <w:p w:rsidR="002E5CA2" w:rsidRPr="002E5CA2" w:rsidRDefault="002E5CA2" w:rsidP="002E5CA2">
      <w:pPr>
        <w:ind w:left="1035" w:firstLine="0"/>
        <w:rPr>
          <w:rFonts w:ascii="Times New Roman" w:hAnsi="Times New Roman" w:cs="Times New Roman"/>
        </w:rPr>
      </w:pPr>
      <w:r w:rsidRPr="002E5CA2">
        <w:rPr>
          <w:rFonts w:ascii="Times New Roman" w:hAnsi="Times New Roman" w:cs="Times New Roman"/>
        </w:rPr>
        <w:t>By the Black-Scholes formula, the price of the same European call option is 9.95. The price is closed to me obtained via simulation. As the increasing in the number of trials, the value will converge to 9.95 by simulation, because the value of simulation will converge to the value of Black-Scholes formula.</w:t>
      </w:r>
    </w:p>
    <w:p w:rsidR="00310D50" w:rsidRDefault="00E42F9A">
      <w:pPr>
        <w:numPr>
          <w:ilvl w:val="1"/>
          <w:numId w:val="1"/>
        </w:numPr>
        <w:spacing w:after="242" w:line="265" w:lineRule="auto"/>
        <w:ind w:hanging="400"/>
      </w:pPr>
      <w:r>
        <w:t>In the Black-Scholes model, we know that the delta of a European call option is:</w:t>
      </w:r>
    </w:p>
    <w:p w:rsidR="00310D50" w:rsidRDefault="00E42F9A">
      <w:pPr>
        <w:spacing w:after="166" w:line="259" w:lineRule="auto"/>
        <w:ind w:left="989" w:firstLine="0"/>
        <w:jc w:val="center"/>
      </w:pPr>
      <w:r>
        <w:rPr>
          <w:noProof/>
        </w:rPr>
        <w:drawing>
          <wp:inline distT="0" distB="0" distL="0" distR="0">
            <wp:extent cx="2243328" cy="530352"/>
            <wp:effectExtent l="0" t="0" r="0" b="0"/>
            <wp:docPr id="1809" name="Picture 1809"/>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5"/>
                    <a:stretch>
                      <a:fillRect/>
                    </a:stretch>
                  </pic:blipFill>
                  <pic:spPr>
                    <a:xfrm>
                      <a:off x="0" y="0"/>
                      <a:ext cx="2243328" cy="530352"/>
                    </a:xfrm>
                    <a:prstGeom prst="rect">
                      <a:avLst/>
                    </a:prstGeom>
                  </pic:spPr>
                </pic:pic>
              </a:graphicData>
            </a:graphic>
          </wp:inline>
        </w:drawing>
      </w:r>
      <w:r>
        <w:rPr>
          <w:i/>
        </w:rPr>
        <w:t xml:space="preserve"> ,</w:t>
      </w:r>
    </w:p>
    <w:p w:rsidR="00310D50" w:rsidRDefault="00E42F9A" w:rsidP="00916CC6">
      <w:pPr>
        <w:spacing w:after="321" w:line="259" w:lineRule="auto"/>
        <w:ind w:left="0" w:right="394" w:firstLine="0"/>
        <w:jc w:val="right"/>
      </w:pPr>
      <w:r>
        <w:lastRenderedPageBreak/>
        <w:t>Calculate the delta of an at-the-money European call option with one year to expiry.</w:t>
      </w:r>
    </w:p>
    <w:p w:rsidR="006B3F8F" w:rsidRDefault="002E5CA2" w:rsidP="006B3F8F">
      <w:pPr>
        <w:spacing w:after="321" w:line="259" w:lineRule="auto"/>
        <w:ind w:left="110" w:right="174" w:hangingChars="50" w:hanging="110"/>
        <w:rPr>
          <w:rFonts w:ascii="Times New Roman" w:hAnsi="Times New Roman" w:cs="Times New Roman"/>
        </w:rPr>
      </w:pPr>
      <w:r>
        <w:tab/>
      </w:r>
      <w:r w:rsidR="00916CC6">
        <w:tab/>
        <w:t xml:space="preserve">    </w:t>
      </w:r>
      <w:r w:rsidRPr="002E5CA2">
        <w:rPr>
          <w:rFonts w:ascii="Times New Roman" w:hAnsi="Times New Roman" w:cs="Times New Roman"/>
        </w:rPr>
        <w:t>The delta of an at-the-money European call option</w:t>
      </w:r>
      <w:r w:rsidR="006B3F8F">
        <w:rPr>
          <w:rFonts w:ascii="Times New Roman" w:hAnsi="Times New Roman" w:cs="Times New Roman"/>
        </w:rPr>
        <w:t xml:space="preserve"> with one year to expiry approximately equal to 0.55. </w:t>
      </w:r>
    </w:p>
    <w:p w:rsidR="00310D50" w:rsidRDefault="00310D50">
      <w:pPr>
        <w:spacing w:after="242" w:line="265" w:lineRule="auto"/>
        <w:ind w:left="157" w:right="147" w:hanging="10"/>
        <w:jc w:val="center"/>
      </w:pPr>
    </w:p>
    <w:p w:rsidR="00310D50" w:rsidRDefault="00E42F9A">
      <w:pPr>
        <w:numPr>
          <w:ilvl w:val="1"/>
          <w:numId w:val="1"/>
        </w:numPr>
        <w:ind w:hanging="400"/>
      </w:pPr>
      <w:r>
        <w:t>Using the delta obtained above, calculate how many shares of stock you need to construct a delta neutral portfolio that is long one unit of the call option?</w:t>
      </w:r>
    </w:p>
    <w:p w:rsidR="006B3F8F" w:rsidRDefault="000E57CC" w:rsidP="006B3F8F">
      <w:pPr>
        <w:ind w:left="1035" w:firstLine="0"/>
      </w:pPr>
      <w:r>
        <w:t xml:space="preserve">Construct a delta neutral portfolio, I need one unit of the call option. </w:t>
      </w:r>
    </w:p>
    <w:p w:rsidR="00310D50" w:rsidRDefault="00E42F9A">
      <w:pPr>
        <w:numPr>
          <w:ilvl w:val="1"/>
          <w:numId w:val="1"/>
        </w:numPr>
        <w:spacing w:after="101"/>
        <w:ind w:hanging="400"/>
      </w:pPr>
      <w:r>
        <w:t>Use simulation to estimate the payoff of the delta neutral portfolio obtained above. How</w:t>
      </w:r>
      <w:r w:rsidR="00CB0235">
        <w:t xml:space="preserve"> </w:t>
      </w:r>
      <w:r>
        <w:t>does the payoff compare to the Black-Scholes model price of the option you obtained earlier? What conditions cause this portfolio to make money? Lose money?</w:t>
      </w:r>
    </w:p>
    <w:p w:rsidR="00CB0235" w:rsidRPr="00AB70DB" w:rsidRDefault="00CB0235" w:rsidP="00CB0235">
      <w:pPr>
        <w:spacing w:after="101"/>
        <w:ind w:left="1035" w:firstLine="0"/>
        <w:rPr>
          <w:rFonts w:ascii="Times New Roman" w:hAnsi="Times New Roman" w:cs="Times New Roman"/>
        </w:rPr>
      </w:pPr>
      <w:r w:rsidRPr="00AB70DB">
        <w:rPr>
          <w:rFonts w:ascii="Times New Roman" w:hAnsi="Times New Roman" w:cs="Times New Roman"/>
        </w:rPr>
        <w:t xml:space="preserve">The code at the attachment. </w:t>
      </w:r>
    </w:p>
    <w:p w:rsidR="00AB70DB" w:rsidRPr="00AB70DB" w:rsidRDefault="00AB70DB" w:rsidP="00CB0235">
      <w:pPr>
        <w:spacing w:after="101"/>
        <w:ind w:left="1035" w:firstLine="0"/>
        <w:rPr>
          <w:rFonts w:ascii="Times New Roman" w:hAnsi="Times New Roman" w:cs="Times New Roman"/>
        </w:rPr>
      </w:pPr>
      <w:r w:rsidRPr="00AB70DB">
        <w:rPr>
          <w:rFonts w:ascii="Times New Roman" w:hAnsi="Times New Roman" w:cs="Times New Roman"/>
        </w:rPr>
        <w:t>The Black-Scholes model price of the option is closed to the payoff.</w:t>
      </w:r>
    </w:p>
    <w:p w:rsidR="00CB0235" w:rsidRPr="00AB70DB" w:rsidRDefault="00AB70DB" w:rsidP="00AB70DB">
      <w:pPr>
        <w:spacing w:after="101"/>
        <w:ind w:left="1035" w:firstLine="0"/>
        <w:rPr>
          <w:rFonts w:ascii="Times New Roman" w:hAnsi="Times New Roman" w:cs="Times New Roman"/>
        </w:rPr>
      </w:pPr>
      <w:r w:rsidRPr="00AB70DB">
        <w:rPr>
          <w:rFonts w:ascii="Times New Roman" w:hAnsi="Times New Roman" w:cs="Times New Roman"/>
        </w:rPr>
        <w:t>When the option expires at the money or near the money, the portfolio will lose money. On the other hands, when the option expires deep in the money or out of money, the portfolio will make money.</w:t>
      </w:r>
    </w:p>
    <w:p w:rsidR="00310D50" w:rsidRDefault="00E42F9A">
      <w:pPr>
        <w:numPr>
          <w:ilvl w:val="1"/>
          <w:numId w:val="1"/>
        </w:numPr>
        <w:spacing w:after="100"/>
        <w:ind w:hanging="400"/>
      </w:pPr>
      <w:r>
        <w:t xml:space="preserve">Modify the model dynamics so that </w:t>
      </w:r>
      <w:r>
        <w:rPr>
          <w:i/>
        </w:rPr>
        <w:t xml:space="preserve">β </w:t>
      </w:r>
      <w:r>
        <w:t>= 0</w:t>
      </w:r>
      <w:r>
        <w:rPr>
          <w:i/>
        </w:rPr>
        <w:t>.</w:t>
      </w:r>
      <w:r>
        <w:t>5 and all other parameters are the same as in the original question. Using the same hedging portfolio perform another simulation to estimate the payoffs of the delta-neutral portfolio under these dynamics. Are the payoffs higher or lower? Why?</w:t>
      </w:r>
    </w:p>
    <w:p w:rsidR="003D4FB0" w:rsidRDefault="003D4FB0" w:rsidP="003D4FB0">
      <w:pPr>
        <w:spacing w:after="100"/>
        <w:ind w:left="1035" w:firstLine="0"/>
      </w:pPr>
      <w:r>
        <w:t xml:space="preserve">When the decreasing in </w:t>
      </w:r>
      <w:r>
        <w:rPr>
          <w:i/>
        </w:rPr>
        <w:t>β</w:t>
      </w:r>
      <w:r>
        <w:t xml:space="preserve">, the volatility of the stock will decrease. Furthermore, the variance of the </w:t>
      </w:r>
      <w:r w:rsidR="00CA4F23">
        <w:t>stock price at maturity will be smaller. Therefore, payoffs will be lower</w:t>
      </w:r>
      <w:r w:rsidR="002C675A">
        <w:t xml:space="preserve">, </w:t>
      </w:r>
      <w:proofErr w:type="gramStart"/>
      <w:r w:rsidR="002C675A">
        <w:t xml:space="preserve">and </w:t>
      </w:r>
      <w:r w:rsidR="00CA4F23">
        <w:t xml:space="preserve"> </w:t>
      </w:r>
      <w:r w:rsidR="002C675A">
        <w:t>the</w:t>
      </w:r>
      <w:proofErr w:type="gramEnd"/>
      <w:r w:rsidR="002C675A">
        <w:t xml:space="preserve"> payoff </w:t>
      </w:r>
      <w:r w:rsidR="002C675A">
        <w:rPr>
          <w:rFonts w:ascii="Times New Roman" w:hAnsi="Times New Roman" w:cs="Times New Roman"/>
        </w:rPr>
        <w:t xml:space="preserve">approximately equal to </w:t>
      </w:r>
      <w:r w:rsidR="002C675A">
        <w:rPr>
          <w:rFonts w:ascii="Times New Roman" w:hAnsi="Times New Roman" w:cs="Times New Roman"/>
        </w:rPr>
        <w:t xml:space="preserve">1. </w:t>
      </w:r>
      <w:r>
        <w:t xml:space="preserve"> </w:t>
      </w:r>
    </w:p>
    <w:p w:rsidR="00AB70DB" w:rsidRDefault="00AB70DB" w:rsidP="00AB70DB">
      <w:pPr>
        <w:spacing w:after="100"/>
        <w:ind w:left="1035" w:firstLine="0"/>
      </w:pPr>
    </w:p>
    <w:p w:rsidR="00E42F9A" w:rsidRDefault="00E42F9A" w:rsidP="00E42F9A">
      <w:pPr>
        <w:numPr>
          <w:ilvl w:val="1"/>
          <w:numId w:val="1"/>
        </w:numPr>
        <w:spacing w:after="8555"/>
        <w:ind w:hanging="400"/>
      </w:pPr>
      <w:r>
        <w:t xml:space="preserve">Modify the model dynamics so that </w:t>
      </w:r>
      <w:r>
        <w:rPr>
          <w:i/>
        </w:rPr>
        <w:t xml:space="preserve">σ </w:t>
      </w:r>
      <w:r>
        <w:t>= 0</w:t>
      </w:r>
      <w:r>
        <w:rPr>
          <w:i/>
        </w:rPr>
        <w:t>.</w:t>
      </w:r>
      <w:r>
        <w:t xml:space="preserve">4 and all other parameters are the same as in the original question. Using the same hedging portfolio perform another simulation to estimate the payoffs of the delta-neutral portfolio under these dynamics. Explain the relationship between a delta-neutral portfolio and the </w:t>
      </w:r>
      <w:r>
        <w:rPr>
          <w:i/>
        </w:rPr>
        <w:t xml:space="preserve">σ </w:t>
      </w:r>
      <w:r>
        <w:t>parameter.</w:t>
      </w:r>
      <w:r w:rsidR="00AB70DB" w:rsidRPr="00AB70DB">
        <w:t xml:space="preserve"> </w:t>
      </w:r>
      <w:r w:rsidR="00AB70DB" w:rsidRPr="00AB70DB">
        <w:rPr>
          <w:rFonts w:ascii="Calibri" w:hAnsi="Calibri" w:cs="Calibri"/>
        </w:rPr>
        <w:t>﻿</w:t>
      </w:r>
      <w:r w:rsidR="00AB70DB" w:rsidRPr="00AB70DB">
        <w:t xml:space="preserve"> </w:t>
      </w:r>
    </w:p>
    <w:p w:rsidR="00AB70DB" w:rsidRPr="00E42F9A" w:rsidRDefault="00AB70DB" w:rsidP="00E42F9A">
      <w:pPr>
        <w:spacing w:after="8555"/>
        <w:ind w:left="1035" w:firstLine="0"/>
      </w:pPr>
      <w:r w:rsidRPr="00E42F9A">
        <w:rPr>
          <w:rFonts w:ascii="Times New Roman" w:hAnsi="Times New Roman" w:cs="Times New Roman"/>
        </w:rPr>
        <w:lastRenderedPageBreak/>
        <w:t xml:space="preserve">The </w:t>
      </w:r>
      <w:r w:rsidR="002C675A">
        <w:t xml:space="preserve">payoff </w:t>
      </w:r>
      <w:r w:rsidR="002C675A">
        <w:rPr>
          <w:rFonts w:ascii="Times New Roman" w:hAnsi="Times New Roman" w:cs="Times New Roman"/>
        </w:rPr>
        <w:t>approximately equal to</w:t>
      </w:r>
      <w:r w:rsidR="002C675A">
        <w:rPr>
          <w:rFonts w:ascii="Times New Roman" w:hAnsi="Times New Roman" w:cs="Times New Roman"/>
        </w:rPr>
        <w:t xml:space="preserve"> </w:t>
      </w:r>
      <w:bookmarkStart w:id="0" w:name="_GoBack"/>
      <w:bookmarkEnd w:id="0"/>
      <w:r w:rsidR="00F37468" w:rsidRPr="00E42F9A">
        <w:rPr>
          <w:rFonts w:ascii="Times New Roman" w:hAnsi="Times New Roman" w:cs="Times New Roman"/>
        </w:rPr>
        <w:t xml:space="preserve">15.4, because the increasing in </w:t>
      </w:r>
      <w:r w:rsidR="00F37468" w:rsidRPr="00E42F9A">
        <w:rPr>
          <w:i/>
        </w:rPr>
        <w:t xml:space="preserve">σ </w:t>
      </w:r>
      <w:r w:rsidR="00F37468" w:rsidRPr="00E42F9A">
        <w:rPr>
          <w:iCs/>
        </w:rPr>
        <w:t xml:space="preserve">will lead to the increasing in </w:t>
      </w:r>
      <w:r w:rsidR="00F37468" w:rsidRPr="00E42F9A">
        <w:rPr>
          <w:rFonts w:ascii="Times New Roman" w:hAnsi="Times New Roman" w:cs="Times New Roman"/>
          <w:iCs/>
        </w:rPr>
        <w:t xml:space="preserve">volatility, so the value will increase. </w:t>
      </w:r>
    </w:p>
    <w:p w:rsidR="00AB70DB" w:rsidRDefault="00AB70DB" w:rsidP="00AB70DB">
      <w:pPr>
        <w:pStyle w:val="a4"/>
        <w:ind w:firstLine="440"/>
      </w:pPr>
    </w:p>
    <w:p w:rsidR="00AB70DB" w:rsidRDefault="00AB70DB" w:rsidP="00AB70DB">
      <w:pPr>
        <w:spacing w:after="8555"/>
        <w:ind w:left="1035" w:firstLine="0"/>
      </w:pPr>
    </w:p>
    <w:p w:rsidR="00310D50" w:rsidRDefault="00E42F9A">
      <w:pPr>
        <w:spacing w:after="242" w:line="265" w:lineRule="auto"/>
        <w:ind w:left="157" w:right="147" w:hanging="10"/>
        <w:jc w:val="center"/>
      </w:pPr>
      <w:r>
        <w:lastRenderedPageBreak/>
        <w:t>2</w:t>
      </w:r>
    </w:p>
    <w:sectPr w:rsidR="00310D50">
      <w:pgSz w:w="12240" w:h="15840"/>
      <w:pgMar w:top="1525" w:right="1512" w:bottom="927" w:left="15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37692"/>
    <w:multiLevelType w:val="hybridMultilevel"/>
    <w:tmpl w:val="32E4D516"/>
    <w:lvl w:ilvl="0" w:tplc="4E9E636C">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300E67C">
      <w:start w:val="1"/>
      <w:numFmt w:val="lowerLetter"/>
      <w:lvlText w:val="(%2)"/>
      <w:lvlJc w:val="left"/>
      <w:pPr>
        <w:ind w:left="1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CEEB00">
      <w:start w:val="1"/>
      <w:numFmt w:val="lowerRoman"/>
      <w:lvlText w:val="%3"/>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106495E">
      <w:start w:val="1"/>
      <w:numFmt w:val="decimal"/>
      <w:lvlText w:val="%4"/>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D8ABD2E">
      <w:start w:val="1"/>
      <w:numFmt w:val="lowerLetter"/>
      <w:lvlText w:val="%5"/>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E3C930C">
      <w:start w:val="1"/>
      <w:numFmt w:val="lowerRoman"/>
      <w:lvlText w:val="%6"/>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3C603F0">
      <w:start w:val="1"/>
      <w:numFmt w:val="decimal"/>
      <w:lvlText w:val="%7"/>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AEEB010">
      <w:start w:val="1"/>
      <w:numFmt w:val="lowerLetter"/>
      <w:lvlText w:val="%8"/>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DA8308">
      <w:start w:val="1"/>
      <w:numFmt w:val="lowerRoman"/>
      <w:lvlText w:val="%9"/>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50"/>
    <w:rsid w:val="000664FC"/>
    <w:rsid w:val="000E57CC"/>
    <w:rsid w:val="001C1C11"/>
    <w:rsid w:val="001D2A57"/>
    <w:rsid w:val="002645EC"/>
    <w:rsid w:val="002C675A"/>
    <w:rsid w:val="002E5CA2"/>
    <w:rsid w:val="00310D50"/>
    <w:rsid w:val="003C3DA0"/>
    <w:rsid w:val="003D4FB0"/>
    <w:rsid w:val="006B3F8F"/>
    <w:rsid w:val="00731B4D"/>
    <w:rsid w:val="008F6D7F"/>
    <w:rsid w:val="00916CC6"/>
    <w:rsid w:val="00921C43"/>
    <w:rsid w:val="00955F9A"/>
    <w:rsid w:val="00AA64CB"/>
    <w:rsid w:val="00AB70DB"/>
    <w:rsid w:val="00AE477C"/>
    <w:rsid w:val="00B1263D"/>
    <w:rsid w:val="00C20D86"/>
    <w:rsid w:val="00CA4F23"/>
    <w:rsid w:val="00CB0235"/>
    <w:rsid w:val="00D07928"/>
    <w:rsid w:val="00E42F9A"/>
    <w:rsid w:val="00E612B7"/>
    <w:rsid w:val="00E64BC8"/>
    <w:rsid w:val="00EE6AFB"/>
    <w:rsid w:val="00F3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6927E4"/>
  <w15:docId w15:val="{203E6E66-98B9-9A4D-BA1F-92811F9C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4" w:line="321" w:lineRule="auto"/>
      <w:ind w:left="398" w:hanging="398"/>
      <w:jc w:val="both"/>
    </w:pPr>
    <w:rPr>
      <w:rFonts w:ascii="Cambria" w:eastAsia="Cambria" w:hAnsi="Cambria" w:cs="Cambr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731B4D"/>
    <w:rPr>
      <w:color w:val="808080"/>
    </w:rPr>
  </w:style>
  <w:style w:type="paragraph" w:styleId="a4">
    <w:name w:val="List Paragraph"/>
    <w:basedOn w:val="a"/>
    <w:uiPriority w:val="34"/>
    <w:qFormat/>
    <w:rsid w:val="00CB02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85618">
      <w:bodyDiv w:val="1"/>
      <w:marLeft w:val="0"/>
      <w:marRight w:val="0"/>
      <w:marTop w:val="0"/>
      <w:marBottom w:val="0"/>
      <w:divBdr>
        <w:top w:val="none" w:sz="0" w:space="0" w:color="auto"/>
        <w:left w:val="none" w:sz="0" w:space="0" w:color="auto"/>
        <w:bottom w:val="none" w:sz="0" w:space="0" w:color="auto"/>
        <w:right w:val="none" w:sz="0" w:space="0" w:color="auto"/>
      </w:divBdr>
    </w:div>
    <w:div w:id="861668686">
      <w:bodyDiv w:val="1"/>
      <w:marLeft w:val="0"/>
      <w:marRight w:val="0"/>
      <w:marTop w:val="0"/>
      <w:marBottom w:val="0"/>
      <w:divBdr>
        <w:top w:val="none" w:sz="0" w:space="0" w:color="auto"/>
        <w:left w:val="none" w:sz="0" w:space="0" w:color="auto"/>
        <w:bottom w:val="none" w:sz="0" w:space="0" w:color="auto"/>
        <w:right w:val="none" w:sz="0" w:space="0" w:color="auto"/>
      </w:divBdr>
    </w:div>
    <w:div w:id="2115665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Dezheng</dc:creator>
  <cp:keywords/>
  <cp:lastModifiedBy>Xu, Dezheng</cp:lastModifiedBy>
  <cp:revision>15</cp:revision>
  <dcterms:created xsi:type="dcterms:W3CDTF">2020-01-27T20:24:00Z</dcterms:created>
  <dcterms:modified xsi:type="dcterms:W3CDTF">2020-01-29T01:51:00Z</dcterms:modified>
</cp:coreProperties>
</file>