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F476B" w14:textId="77777777" w:rsidR="00817C70" w:rsidRDefault="00000000">
      <w:pPr>
        <w:pStyle w:val="Title"/>
        <w:spacing w:after="240"/>
      </w:pPr>
      <w:r>
        <w:t>Middleware-Layer Attack Injection in PX4–ROS 2 Systems:</w:t>
      </w:r>
    </w:p>
    <w:p w14:paraId="7B43C41C" w14:textId="77777777" w:rsidR="00817C70" w:rsidRDefault="00000000">
      <w:pPr>
        <w:pStyle w:val="Heading2"/>
        <w:spacing w:after="400"/>
      </w:pPr>
      <w:r>
        <w:rPr>
          <w:i/>
          <w:iCs/>
        </w:rPr>
        <w:t>Evaluating the uXRCE-DDS Bridge as an Undetected Threat Surface</w:t>
      </w:r>
    </w:p>
    <w:p w14:paraId="71C76A1E" w14:textId="77777777" w:rsidR="00817C70" w:rsidRDefault="00000000">
      <w:pPr>
        <w:pStyle w:val="Heading1"/>
        <w:spacing w:before="320" w:after="160"/>
      </w:pPr>
      <w:r>
        <w:t>The Problem</w:t>
      </w:r>
    </w:p>
    <w:p w14:paraId="0A3EFC29" w14:textId="77777777" w:rsidR="00817C70" w:rsidRDefault="00000000">
      <w:pPr>
        <w:spacing w:after="160"/>
      </w:pPr>
      <w:r>
        <w:t>PX4 (the flight controller firmware) and ROS 2 (the companion-computer autonomy stack) talk to each other through a bridge called uXRCE-DDS. Sensor-layer attacks on drones — GPS spoofing, IMU tampering, jamming — are well studied, with published datasets, testbeds, and detectors built around them. Attacks on this specific bridge are not.</w:t>
      </w:r>
    </w:p>
    <w:p w14:paraId="2D5C5CBB" w14:textId="77777777" w:rsidR="00817C70" w:rsidRDefault="00000000">
      <w:pPr>
        <w:spacing w:after="160"/>
      </w:pPr>
      <w:r>
        <w:t>PX4's own documentation notes that its arbitration mechanism (subscriptions_multi) keeps PX4-internal publishers separate from ROS 2 publishers, but does not distinguish between multiple ROS 2 publishers on the same topic. Nobody has published what an attacker can actually do with that, or whether it's detectable.</w:t>
      </w:r>
    </w:p>
    <w:p w14:paraId="4B5E2F60" w14:textId="77777777" w:rsidR="00817C70" w:rsidRDefault="00000000">
      <w:pPr>
        <w:pStyle w:val="Heading1"/>
        <w:spacing w:before="320" w:after="160"/>
      </w:pPr>
      <w:r>
        <w:t>What We're Investigating</w:t>
      </w:r>
    </w:p>
    <w:p w14:paraId="774C4D9D" w14:textId="77777777" w:rsidR="00817C70" w:rsidRDefault="00000000">
      <w:pPr>
        <w:spacing w:after="160"/>
      </w:pPr>
      <w:r>
        <w:t>Specifically: the /fmu/in/ topics (setpoints and commands flowing into PX4 from ROS 2) over the uXRCE-DDS transport.</w:t>
      </w:r>
    </w:p>
    <w:p w14:paraId="454A74C6" w14:textId="77777777" w:rsidR="00817C70" w:rsidRDefault="00000000">
      <w:pPr>
        <w:pStyle w:val="ListParagraph"/>
        <w:numPr>
          <w:ilvl w:val="0"/>
          <w:numId w:val="2"/>
        </w:numPr>
        <w:spacing w:after="120"/>
      </w:pPr>
      <w:r>
        <w:t>Not sensor spoofing. We are not corrupting GPS, IMU, or camera input.</w:t>
      </w:r>
    </w:p>
    <w:p w14:paraId="546EA99E" w14:textId="77777777" w:rsidR="00817C70" w:rsidRDefault="00000000">
      <w:pPr>
        <w:pStyle w:val="ListParagraph"/>
        <w:numPr>
          <w:ilvl w:val="0"/>
          <w:numId w:val="2"/>
        </w:numPr>
        <w:spacing w:after="120"/>
      </w:pPr>
      <w:r>
        <w:t>Not a new software bug. We are not fuzzing for an unknown vulnerability in the DDS client.</w:t>
      </w:r>
    </w:p>
    <w:p w14:paraId="346DFC7F" w14:textId="77777777" w:rsidR="00817C70" w:rsidRDefault="00000000">
      <w:pPr>
        <w:pStyle w:val="ListParagraph"/>
        <w:numPr>
          <w:ilvl w:val="0"/>
          <w:numId w:val="2"/>
        </w:numPr>
        <w:spacing w:after="120"/>
      </w:pPr>
      <w:r>
        <w:rPr>
          <w:b/>
          <w:bCs/>
        </w:rPr>
        <w:t>What we are doing: publishing well-formed, protocol-legal setpoints from an unauthorized ROS 2 node, and measuring what happens — to the vehicle, and to detection.</w:t>
      </w:r>
    </w:p>
    <w:p w14:paraId="7A7C75C4" w14:textId="77777777" w:rsidR="00817C70" w:rsidRDefault="00000000">
      <w:pPr>
        <w:spacing w:after="160"/>
      </w:pPr>
      <w:r>
        <w:t>The research question:</w:t>
      </w:r>
    </w:p>
    <w:p w14:paraId="13BED40C" w14:textId="77777777" w:rsidR="00817C70" w:rsidRDefault="00000000">
      <w:pPr>
        <w:pBdr>
          <w:left w:val="single" w:sz="12" w:space="8" w:color="2F5496"/>
        </w:pBdr>
        <w:spacing w:after="160"/>
        <w:ind w:left="480"/>
      </w:pPr>
      <w:r>
        <w:rPr>
          <w:i/>
          <w:iCs/>
        </w:rPr>
        <w:t>Does injection through the uXRCE-DDS bridge produce attacks that are physically consequential but statistically invisible to detection methods built for sensor-layer attacks?</w:t>
      </w:r>
    </w:p>
    <w:p w14:paraId="1AD97CCB" w14:textId="77777777" w:rsidR="00817C70" w:rsidRDefault="00000000">
      <w:pPr>
        <w:spacing w:after="160"/>
      </w:pPr>
      <w:r>
        <w:t>This is a hypothesis to test, not a vulnerability we're claiming to have already found. The architectural gap is documented; its consequences and detectability are not.</w:t>
      </w:r>
    </w:p>
    <w:p w14:paraId="24954693" w14:textId="77777777" w:rsidR="00817C70" w:rsidRDefault="00000000">
      <w:pPr>
        <w:pStyle w:val="Heading1"/>
        <w:spacing w:before="320" w:after="160"/>
      </w:pPr>
      <w:r>
        <w:t>Why This Has Value Even Though a Related CVE Exists</w:t>
      </w:r>
    </w:p>
    <w:p w14:paraId="0DC12C2E" w14:textId="77777777" w:rsidR="00817C70" w:rsidRDefault="00000000">
      <w:pPr>
        <w:spacing w:after="160"/>
      </w:pPr>
      <w:r>
        <w:t>CVE-2026-1579 covers unsigned MAVLink messages on a different bridge (PX4↔ground station), and it's a disclosure that a flaw exists — not an impact study. Even where a CVE exists, nobody typically measures the actual trajectory deviation it causes or tests it against existing detectors. Our contribution is that measurement, on the DDS bridge specifically, which has no CVE and no prior published study at all.</w:t>
      </w:r>
    </w:p>
    <w:p w14:paraId="46C88BB8" w14:textId="77777777" w:rsidR="00817C70" w:rsidRDefault="00000000">
      <w:pPr>
        <w:pStyle w:val="Heading1"/>
        <w:spacing w:before="320" w:after="160"/>
      </w:pPr>
      <w:r>
        <w:t>Method (Phased)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6100"/>
      </w:tblGrid>
      <w:tr w:rsidR="00817C70" w14:paraId="4EB58930" w14:textId="77777777">
        <w:tblPrEx>
          <w:tblCellMar>
            <w:top w:w="0" w:type="dxa"/>
            <w:bottom w:w="0" w:type="dxa"/>
          </w:tblCellMar>
        </w:tblPrEx>
        <w:tc>
          <w:tcPr>
            <w:tcW w:w="2200" w:type="dxa"/>
            <w:shd w:val="clear" w:color="auto" w:fill="2F5496"/>
            <w:tcMar>
              <w:top w:w="100" w:type="dxa"/>
              <w:left w:w="120" w:type="dxa"/>
              <w:bottom w:w="100" w:type="dxa"/>
              <w:right w:w="120" w:type="dxa"/>
            </w:tcMar>
          </w:tcPr>
          <w:p w14:paraId="16A4F5BA" w14:textId="77777777" w:rsidR="00817C70" w:rsidRDefault="00000000">
            <w:r>
              <w:rPr>
                <w:b/>
                <w:bCs/>
                <w:color w:val="FFFFFF"/>
              </w:rPr>
              <w:t>Phase</w:t>
            </w:r>
          </w:p>
        </w:tc>
        <w:tc>
          <w:tcPr>
            <w:tcW w:w="1200" w:type="dxa"/>
            <w:shd w:val="clear" w:color="auto" w:fill="2F5496"/>
            <w:tcMar>
              <w:top w:w="100" w:type="dxa"/>
              <w:left w:w="120" w:type="dxa"/>
              <w:bottom w:w="100" w:type="dxa"/>
              <w:right w:w="120" w:type="dxa"/>
            </w:tcMar>
          </w:tcPr>
          <w:p w14:paraId="517398EA" w14:textId="77777777" w:rsidR="00817C70" w:rsidRDefault="00000000">
            <w:r>
              <w:rPr>
                <w:b/>
                <w:bCs/>
                <w:color w:val="FFFFFF"/>
              </w:rPr>
              <w:t>Weeks</w:t>
            </w:r>
          </w:p>
        </w:tc>
        <w:tc>
          <w:tcPr>
            <w:tcW w:w="6100" w:type="dxa"/>
            <w:shd w:val="clear" w:color="auto" w:fill="2F5496"/>
            <w:tcMar>
              <w:top w:w="100" w:type="dxa"/>
              <w:left w:w="120" w:type="dxa"/>
              <w:bottom w:w="100" w:type="dxa"/>
              <w:right w:w="120" w:type="dxa"/>
            </w:tcMar>
          </w:tcPr>
          <w:p w14:paraId="5ABE39A0" w14:textId="77777777" w:rsidR="00817C70" w:rsidRDefault="00000000">
            <w:r>
              <w:rPr>
                <w:b/>
                <w:bCs/>
                <w:color w:val="FFFFFF"/>
              </w:rPr>
              <w:t>What</w:t>
            </w:r>
          </w:p>
        </w:tc>
      </w:tr>
      <w:tr w:rsidR="00817C70" w14:paraId="42E70788" w14:textId="77777777">
        <w:tblPrEx>
          <w:tblCellMar>
            <w:top w:w="0" w:type="dxa"/>
            <w:bottom w:w="0" w:type="dxa"/>
          </w:tblCellMar>
        </w:tblPrEx>
        <w:tc>
          <w:tcPr>
            <w:tcW w:w="2200" w:type="dxa"/>
            <w:tcMar>
              <w:top w:w="100" w:type="dxa"/>
              <w:left w:w="120" w:type="dxa"/>
              <w:bottom w:w="100" w:type="dxa"/>
              <w:right w:w="120" w:type="dxa"/>
            </w:tcMar>
          </w:tcPr>
          <w:p w14:paraId="255CDD04" w14:textId="77777777" w:rsidR="00817C70" w:rsidRDefault="00000000">
            <w:r>
              <w:t>0 — Setup</w:t>
            </w:r>
          </w:p>
        </w:tc>
        <w:tc>
          <w:tcPr>
            <w:tcW w:w="1200" w:type="dxa"/>
            <w:tcMar>
              <w:top w:w="100" w:type="dxa"/>
              <w:left w:w="120" w:type="dxa"/>
              <w:bottom w:w="100" w:type="dxa"/>
              <w:right w:w="120" w:type="dxa"/>
            </w:tcMar>
          </w:tcPr>
          <w:p w14:paraId="7697AF7A" w14:textId="77777777" w:rsidR="00817C70" w:rsidRDefault="00000000">
            <w:r>
              <w:t>1–4</w:t>
            </w:r>
          </w:p>
        </w:tc>
        <w:tc>
          <w:tcPr>
            <w:tcW w:w="6100" w:type="dxa"/>
            <w:tcMar>
              <w:top w:w="100" w:type="dxa"/>
              <w:left w:w="120" w:type="dxa"/>
              <w:bottom w:w="100" w:type="dxa"/>
              <w:right w:w="120" w:type="dxa"/>
            </w:tcMar>
          </w:tcPr>
          <w:p w14:paraId="3433D109" w14:textId="77777777" w:rsidR="00817C70" w:rsidRDefault="00000000">
            <w:r>
              <w:t>PX4 SITL + Gazebo, Micro XRCE-DDS agent, ROS 2 (px4_msgs / px4_ros_com), fly a baseline mission end-to-end</w:t>
            </w:r>
          </w:p>
        </w:tc>
      </w:tr>
      <w:tr w:rsidR="00817C70" w14:paraId="705CD886" w14:textId="77777777">
        <w:tblPrEx>
          <w:tblCellMar>
            <w:top w:w="0" w:type="dxa"/>
            <w:bottom w:w="0" w:type="dxa"/>
          </w:tblCellMar>
        </w:tblPrEx>
        <w:tc>
          <w:tcPr>
            <w:tcW w:w="2200" w:type="dxa"/>
            <w:tcMar>
              <w:top w:w="100" w:type="dxa"/>
              <w:left w:w="120" w:type="dxa"/>
              <w:bottom w:w="100" w:type="dxa"/>
              <w:right w:w="120" w:type="dxa"/>
            </w:tcMar>
          </w:tcPr>
          <w:p w14:paraId="3418CE43" w14:textId="77777777" w:rsidR="00817C70" w:rsidRDefault="00000000">
            <w:r>
              <w:lastRenderedPageBreak/>
              <w:t>1 — Baseline</w:t>
            </w:r>
          </w:p>
        </w:tc>
        <w:tc>
          <w:tcPr>
            <w:tcW w:w="1200" w:type="dxa"/>
            <w:tcMar>
              <w:top w:w="100" w:type="dxa"/>
              <w:left w:w="120" w:type="dxa"/>
              <w:bottom w:w="100" w:type="dxa"/>
              <w:right w:w="120" w:type="dxa"/>
            </w:tcMar>
          </w:tcPr>
          <w:p w14:paraId="36ADC2B9" w14:textId="77777777" w:rsidR="00817C70" w:rsidRDefault="00000000">
            <w:r>
              <w:t>5–8</w:t>
            </w:r>
          </w:p>
        </w:tc>
        <w:tc>
          <w:tcPr>
            <w:tcW w:w="6100" w:type="dxa"/>
            <w:tcMar>
              <w:top w:w="100" w:type="dxa"/>
              <w:left w:w="120" w:type="dxa"/>
              <w:bottom w:w="100" w:type="dxa"/>
              <w:right w:w="120" w:type="dxa"/>
            </w:tcMar>
          </w:tcPr>
          <w:p w14:paraId="4313F9A4" w14:textId="77777777" w:rsidR="00817C70" w:rsidRDefault="00000000">
            <w:r>
              <w:t>Repeat nominal flights, log ULog + ROS 2 telemetry, compute normal variance (the "noise floor")</w:t>
            </w:r>
          </w:p>
        </w:tc>
      </w:tr>
      <w:tr w:rsidR="00817C70" w14:paraId="5B332858" w14:textId="77777777">
        <w:tblPrEx>
          <w:tblCellMar>
            <w:top w:w="0" w:type="dxa"/>
            <w:bottom w:w="0" w:type="dxa"/>
          </w:tblCellMar>
        </w:tblPrEx>
        <w:tc>
          <w:tcPr>
            <w:tcW w:w="2200" w:type="dxa"/>
            <w:tcMar>
              <w:top w:w="100" w:type="dxa"/>
              <w:left w:w="120" w:type="dxa"/>
              <w:bottom w:w="100" w:type="dxa"/>
              <w:right w:w="120" w:type="dxa"/>
            </w:tcMar>
          </w:tcPr>
          <w:p w14:paraId="34EB859D" w14:textId="77777777" w:rsidR="00817C70" w:rsidRDefault="00000000">
            <w:r>
              <w:t>2 — Injector</w:t>
            </w:r>
          </w:p>
        </w:tc>
        <w:tc>
          <w:tcPr>
            <w:tcW w:w="1200" w:type="dxa"/>
            <w:tcMar>
              <w:top w:w="100" w:type="dxa"/>
              <w:left w:w="120" w:type="dxa"/>
              <w:bottom w:w="100" w:type="dxa"/>
              <w:right w:w="120" w:type="dxa"/>
            </w:tcMar>
          </w:tcPr>
          <w:p w14:paraId="4A71B851" w14:textId="77777777" w:rsidR="00817C70" w:rsidRDefault="00000000">
            <w:r>
              <w:t>9–14</w:t>
            </w:r>
          </w:p>
        </w:tc>
        <w:tc>
          <w:tcPr>
            <w:tcW w:w="6100" w:type="dxa"/>
            <w:tcMar>
              <w:top w:w="100" w:type="dxa"/>
              <w:left w:w="120" w:type="dxa"/>
              <w:bottom w:w="100" w:type="dxa"/>
              <w:right w:w="120" w:type="dxa"/>
            </w:tcMar>
          </w:tcPr>
          <w:p w14:paraId="07B8E4EE" w14:textId="77777777" w:rsidR="00817C70" w:rsidRDefault="00000000">
            <w:r>
              <w:t>Build a ROS 2 node (using a vendor interface library where possible) publishing unauthorized setpoints on /fmu/in/trajectory_setpoint; test (a) slow drift injection, (b) dual-publisher contention</w:t>
            </w:r>
          </w:p>
        </w:tc>
      </w:tr>
      <w:tr w:rsidR="00817C70" w14:paraId="13CBF468" w14:textId="77777777">
        <w:tblPrEx>
          <w:tblCellMar>
            <w:top w:w="0" w:type="dxa"/>
            <w:bottom w:w="0" w:type="dxa"/>
          </w:tblCellMar>
        </w:tblPrEx>
        <w:tc>
          <w:tcPr>
            <w:tcW w:w="2200" w:type="dxa"/>
            <w:tcMar>
              <w:top w:w="100" w:type="dxa"/>
              <w:left w:w="120" w:type="dxa"/>
              <w:bottom w:w="100" w:type="dxa"/>
              <w:right w:w="120" w:type="dxa"/>
            </w:tcMar>
          </w:tcPr>
          <w:p w14:paraId="549FA66A" w14:textId="77777777" w:rsidR="00817C70" w:rsidRDefault="00000000">
            <w:r>
              <w:t>3 — Measurement</w:t>
            </w:r>
          </w:p>
        </w:tc>
        <w:tc>
          <w:tcPr>
            <w:tcW w:w="1200" w:type="dxa"/>
            <w:tcMar>
              <w:top w:w="100" w:type="dxa"/>
              <w:left w:w="120" w:type="dxa"/>
              <w:bottom w:w="100" w:type="dxa"/>
              <w:right w:w="120" w:type="dxa"/>
            </w:tcMar>
          </w:tcPr>
          <w:p w14:paraId="0BC0004F" w14:textId="77777777" w:rsidR="00817C70" w:rsidRDefault="00000000">
            <w:r>
              <w:t>15–18</w:t>
            </w:r>
          </w:p>
        </w:tc>
        <w:tc>
          <w:tcPr>
            <w:tcW w:w="6100" w:type="dxa"/>
            <w:tcMar>
              <w:top w:w="100" w:type="dxa"/>
              <w:left w:w="120" w:type="dxa"/>
              <w:bottom w:w="100" w:type="dxa"/>
              <w:right w:w="120" w:type="dxa"/>
            </w:tcMar>
          </w:tcPr>
          <w:p w14:paraId="5FD89B55" w14:textId="77777777" w:rsidR="00817C70" w:rsidRDefault="00000000">
            <w:r>
              <w:t>Compare injected runs against baseline variance; run one existing simple detector against both this attack and a sensor-layer attack for a direct comparison</w:t>
            </w:r>
          </w:p>
        </w:tc>
      </w:tr>
      <w:tr w:rsidR="00817C70" w14:paraId="395CC63E" w14:textId="77777777">
        <w:tblPrEx>
          <w:tblCellMar>
            <w:top w:w="0" w:type="dxa"/>
            <w:bottom w:w="0" w:type="dxa"/>
          </w:tblCellMar>
        </w:tblPrEx>
        <w:tc>
          <w:tcPr>
            <w:tcW w:w="2200" w:type="dxa"/>
            <w:tcMar>
              <w:top w:w="100" w:type="dxa"/>
              <w:left w:w="120" w:type="dxa"/>
              <w:bottom w:w="100" w:type="dxa"/>
              <w:right w:w="120" w:type="dxa"/>
            </w:tcMar>
          </w:tcPr>
          <w:p w14:paraId="126BFC2C" w14:textId="77777777" w:rsidR="00817C70" w:rsidRDefault="00000000">
            <w:r>
              <w:t>4 — Writing</w:t>
            </w:r>
          </w:p>
        </w:tc>
        <w:tc>
          <w:tcPr>
            <w:tcW w:w="1200" w:type="dxa"/>
            <w:tcMar>
              <w:top w:w="100" w:type="dxa"/>
              <w:left w:w="120" w:type="dxa"/>
              <w:bottom w:w="100" w:type="dxa"/>
              <w:right w:w="120" w:type="dxa"/>
            </w:tcMar>
          </w:tcPr>
          <w:p w14:paraId="53B5D4E9" w14:textId="77777777" w:rsidR="00817C70" w:rsidRDefault="00000000">
            <w:r>
              <w:t>19–24</w:t>
            </w:r>
          </w:p>
        </w:tc>
        <w:tc>
          <w:tcPr>
            <w:tcW w:w="6100" w:type="dxa"/>
            <w:tcMar>
              <w:top w:w="100" w:type="dxa"/>
              <w:left w:w="120" w:type="dxa"/>
              <w:bottom w:w="100" w:type="dxa"/>
              <w:right w:w="120" w:type="dxa"/>
            </w:tcMar>
          </w:tcPr>
          <w:p w14:paraId="01B5DFF1" w14:textId="77777777" w:rsidR="00817C70" w:rsidRDefault="00000000">
            <w:r>
              <w:t>Paper, figures, advisor review, revisions</w:t>
            </w:r>
          </w:p>
        </w:tc>
      </w:tr>
    </w:tbl>
    <w:p w14:paraId="372DFA04" w14:textId="77777777" w:rsidR="00817C70" w:rsidRDefault="00817C70">
      <w:pPr>
        <w:spacing w:before="200" w:after="160"/>
      </w:pPr>
    </w:p>
    <w:p w14:paraId="3500AABA" w14:textId="77777777" w:rsidR="00817C70" w:rsidRDefault="00000000">
      <w:pPr>
        <w:pStyle w:val="Heading1"/>
        <w:spacing w:before="320" w:after="160"/>
      </w:pPr>
      <w:r>
        <w:t>What “Done” Looks Like</w:t>
      </w:r>
    </w:p>
    <w:p w14:paraId="75A26A06" w14:textId="77777777" w:rsidR="00817C70" w:rsidRDefault="00000000">
      <w:pPr>
        <w:spacing w:after="160"/>
      </w:pPr>
      <w:r>
        <w:t>A measured comparison showing whether uXRCE-DDS setpoint injection sits inside or outside the detection envelope that catches sensor-layer attacks, with the data and injector tool as reusable artifacts.</w:t>
      </w:r>
    </w:p>
    <w:p w14:paraId="72CA5AD1" w14:textId="77777777" w:rsidR="00817C70" w:rsidRDefault="00000000">
      <w:pPr>
        <w:pStyle w:val="Heading1"/>
        <w:spacing w:before="320" w:after="160"/>
      </w:pPr>
      <w:r>
        <w:t>Open Items to Settle Early</w:t>
      </w:r>
    </w:p>
    <w:p w14:paraId="580B00AE" w14:textId="77777777" w:rsidR="00817C70" w:rsidRDefault="00000000">
      <w:pPr>
        <w:pStyle w:val="ListParagraph"/>
        <w:numPr>
          <w:ilvl w:val="0"/>
          <w:numId w:val="2"/>
        </w:numPr>
        <w:spacing w:after="120"/>
      </w:pPr>
      <w:r>
        <w:t>Disclosure posture — if results suggest a real exploitable weakness on current firmware, PX4's coordinated disclosure process can take ~90 days and should start in month 1, not after writing.</w:t>
      </w:r>
    </w:p>
    <w:p w14:paraId="3925FDAF" w14:textId="77777777" w:rsidR="00817C70" w:rsidRDefault="00000000">
      <w:pPr>
        <w:pStyle w:val="ListParagraph"/>
        <w:numPr>
          <w:ilvl w:val="0"/>
          <w:numId w:val="2"/>
        </w:numPr>
        <w:spacing w:after="120"/>
      </w:pPr>
      <w:r>
        <w:t>SITL vs. hardware — confirm with Dr. Ardeshir; SITL-only is a defensible scope but should be stated as a limitation, not hidden.</w:t>
      </w:r>
    </w:p>
    <w:sectPr w:rsidR="00817C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F60155"/>
    <w:multiLevelType w:val="hybridMultilevel"/>
    <w:tmpl w:val="9D5C4EFE"/>
    <w:lvl w:ilvl="0" w:tplc="CD94558A">
      <w:start w:val="1"/>
      <w:numFmt w:val="bullet"/>
      <w:lvlText w:val="•"/>
      <w:lvlJc w:val="left"/>
      <w:pPr>
        <w:ind w:left="360" w:hanging="360"/>
      </w:pPr>
    </w:lvl>
    <w:lvl w:ilvl="1" w:tplc="F1B430A0">
      <w:numFmt w:val="decimal"/>
      <w:lvlText w:val=""/>
      <w:lvlJc w:val="left"/>
    </w:lvl>
    <w:lvl w:ilvl="2" w:tplc="BDC25D38">
      <w:numFmt w:val="decimal"/>
      <w:lvlText w:val=""/>
      <w:lvlJc w:val="left"/>
    </w:lvl>
    <w:lvl w:ilvl="3" w:tplc="845C522E">
      <w:numFmt w:val="decimal"/>
      <w:lvlText w:val=""/>
      <w:lvlJc w:val="left"/>
    </w:lvl>
    <w:lvl w:ilvl="4" w:tplc="3A5E7D3E">
      <w:numFmt w:val="decimal"/>
      <w:lvlText w:val=""/>
      <w:lvlJc w:val="left"/>
    </w:lvl>
    <w:lvl w:ilvl="5" w:tplc="1320FE44">
      <w:numFmt w:val="decimal"/>
      <w:lvlText w:val=""/>
      <w:lvlJc w:val="left"/>
    </w:lvl>
    <w:lvl w:ilvl="6" w:tplc="1786F3E0">
      <w:numFmt w:val="decimal"/>
      <w:lvlText w:val=""/>
      <w:lvlJc w:val="left"/>
    </w:lvl>
    <w:lvl w:ilvl="7" w:tplc="6F28F22A">
      <w:numFmt w:val="decimal"/>
      <w:lvlText w:val=""/>
      <w:lvlJc w:val="left"/>
    </w:lvl>
    <w:lvl w:ilvl="8" w:tplc="E9E0F9FC">
      <w:numFmt w:val="decimal"/>
      <w:lvlText w:val=""/>
      <w:lvlJc w:val="left"/>
    </w:lvl>
  </w:abstractNum>
  <w:abstractNum w:abstractNumId="1" w15:restartNumberingAfterBreak="0">
    <w:nsid w:val="3DC8620D"/>
    <w:multiLevelType w:val="hybridMultilevel"/>
    <w:tmpl w:val="AD9261DE"/>
    <w:lvl w:ilvl="0" w:tplc="F71A2CC4">
      <w:start w:val="1"/>
      <w:numFmt w:val="bullet"/>
      <w:lvlText w:val="●"/>
      <w:lvlJc w:val="left"/>
      <w:pPr>
        <w:ind w:left="720" w:hanging="360"/>
      </w:pPr>
    </w:lvl>
    <w:lvl w:ilvl="1" w:tplc="B400D380">
      <w:start w:val="1"/>
      <w:numFmt w:val="bullet"/>
      <w:lvlText w:val="○"/>
      <w:lvlJc w:val="left"/>
      <w:pPr>
        <w:ind w:left="1440" w:hanging="360"/>
      </w:pPr>
    </w:lvl>
    <w:lvl w:ilvl="2" w:tplc="8C34266E">
      <w:start w:val="1"/>
      <w:numFmt w:val="bullet"/>
      <w:lvlText w:val="■"/>
      <w:lvlJc w:val="left"/>
      <w:pPr>
        <w:ind w:left="2160" w:hanging="360"/>
      </w:pPr>
    </w:lvl>
    <w:lvl w:ilvl="3" w:tplc="AE3CBDC2">
      <w:start w:val="1"/>
      <w:numFmt w:val="bullet"/>
      <w:lvlText w:val="●"/>
      <w:lvlJc w:val="left"/>
      <w:pPr>
        <w:ind w:left="2880" w:hanging="360"/>
      </w:pPr>
    </w:lvl>
    <w:lvl w:ilvl="4" w:tplc="4582E9EA">
      <w:start w:val="1"/>
      <w:numFmt w:val="bullet"/>
      <w:lvlText w:val="○"/>
      <w:lvlJc w:val="left"/>
      <w:pPr>
        <w:ind w:left="3600" w:hanging="360"/>
      </w:pPr>
    </w:lvl>
    <w:lvl w:ilvl="5" w:tplc="40DA44D6">
      <w:start w:val="1"/>
      <w:numFmt w:val="bullet"/>
      <w:lvlText w:val="■"/>
      <w:lvlJc w:val="left"/>
      <w:pPr>
        <w:ind w:left="4320" w:hanging="360"/>
      </w:pPr>
    </w:lvl>
    <w:lvl w:ilvl="6" w:tplc="1DCA1B3C">
      <w:start w:val="1"/>
      <w:numFmt w:val="bullet"/>
      <w:lvlText w:val="●"/>
      <w:lvlJc w:val="left"/>
      <w:pPr>
        <w:ind w:left="5040" w:hanging="360"/>
      </w:pPr>
    </w:lvl>
    <w:lvl w:ilvl="7" w:tplc="181A0FF6">
      <w:start w:val="1"/>
      <w:numFmt w:val="bullet"/>
      <w:lvlText w:val="●"/>
      <w:lvlJc w:val="left"/>
      <w:pPr>
        <w:ind w:left="5760" w:hanging="360"/>
      </w:pPr>
    </w:lvl>
    <w:lvl w:ilvl="8" w:tplc="9BC0BEDC">
      <w:start w:val="1"/>
      <w:numFmt w:val="bullet"/>
      <w:lvlText w:val="●"/>
      <w:lvlJc w:val="left"/>
      <w:pPr>
        <w:ind w:left="6480" w:hanging="360"/>
      </w:pPr>
    </w:lvl>
  </w:abstractNum>
  <w:num w:numId="1" w16cid:durableId="1647933912">
    <w:abstractNumId w:val="1"/>
    <w:lvlOverride w:ilvl="0">
      <w:startOverride w:val="1"/>
    </w:lvlOverride>
  </w:num>
  <w:num w:numId="2" w16cid:durableId="16559118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C70"/>
    <w:rsid w:val="00817C70"/>
    <w:rsid w:val="00C60917"/>
    <w:rsid w:val="00E066A0"/>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73FF3D7"/>
  <w15:docId w15:val="{96D38ABA-D22B-A747-A8C7-C5A7C9F0B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W"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Sung-Yu Lin</cp:lastModifiedBy>
  <cp:revision>2</cp:revision>
  <dcterms:created xsi:type="dcterms:W3CDTF">2026-09-09T05:11:00Z</dcterms:created>
  <dcterms:modified xsi:type="dcterms:W3CDTF">2026-09-09T05:14:00Z</dcterms:modified>
</cp:coreProperties>
</file>