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ptos Display" w:hAnsi="Aptos Display"/>
          <w:b/>
          <w:color w:val="0F6B6D"/>
          <w:sz w:val="32"/>
        </w:rPr>
        <w:t>JETHOS PROTOCOL</w:t>
      </w:r>
    </w:p>
    <w:p>
      <w:pPr>
        <w:pStyle w:val="Title"/>
        <w:jc w:val="center"/>
      </w:pPr>
      <w:r>
        <w:t>Product &amp; Vault Taxonomy</w:t>
      </w:r>
    </w:p>
    <w:p>
      <w:pPr>
        <w:pStyle w:val="Subtitle"/>
        <w:jc w:val="center"/>
      </w:pPr>
      <w:r>
        <w:t>Famiglie di prodotto, profili di rischio e piramide dei vault</w:t>
      </w:r>
    </w:p>
    <w:p>
      <w:pPr>
        <w:spacing w:before="500"/>
        <w:jc w:val="center"/>
      </w:pPr>
      <w:r>
        <w:rPr>
          <w:rFonts w:ascii="Aptos" w:hAnsi="Aptos"/>
          <w:color w:val="666666"/>
          <w:sz w:val="21"/>
        </w:rPr>
        <w:t>Versione 0.1 · 22 luglio 2026</w:t>
      </w:r>
    </w:p>
    <w:p>
      <w:pPr>
        <w:jc w:val="center"/>
      </w:pPr>
      <w:r>
        <w:rPr>
          <w:rFonts w:ascii="Aptos" w:hAnsi="Aptos"/>
          <w:b/>
          <w:color w:val="C65911"/>
          <w:sz w:val="20"/>
        </w:rPr>
        <w:t>Stato: bozza di lavoro consolidata</w:t>
      </w:r>
    </w:p>
    <w:p>
      <w:r>
        <w:br w:type="page"/>
      </w:r>
    </w:p>
    <w:p>
      <w:pPr>
        <w:pStyle w:val="Heading1"/>
      </w:pPr>
      <w:r>
        <w:t>Base documentale e stato delle informazioni</w:t>
      </w:r>
    </w:p>
    <w:p>
      <w:r>
        <w:rPr>
          <w:b/>
        </w:rPr>
        <w:t xml:space="preserve">Fonti iniziali fornite: </w:t>
      </w:r>
      <w:r>
        <w:t>Plan_baseasssetabstraction.md; explenation_file.md; plan_baseasset_phases.md.</w:t>
      </w:r>
    </w:p>
    <w:p>
      <w:r>
        <w:rPr>
          <w:b/>
        </w:rPr>
        <w:t xml:space="preserve">Decisioni consolidate: </w:t>
      </w:r>
      <w:r>
        <w:t>risposte e chiarimenti forniti nella conversazione fino al 22 luglio 2026.</w:t>
      </w:r>
    </w:p>
    <w:p>
      <w:r>
        <w:rPr>
          <w:b/>
        </w:rPr>
        <w:t xml:space="preserve">Regola di prevalenza: </w:t>
      </w:r>
      <w:r>
        <w:t>quando un documento iniziale descrive una fase come futura ma la conversazione conferma che è stata implementata, il documento riporta entrambe le informazioni e considera la decisione più recente come stato corrente dichiarato.</w:t>
      </w:r>
    </w:p>
    <w:p>
      <w:pPr>
        <w:pStyle w:val="Heading1"/>
      </w:pPr>
      <w:r>
        <w:t>1. Principio contabile del prodotto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375623"/>
                <w:sz w:val="20"/>
              </w:rPr>
              <w:t>Il vault mira a preservare e accrescere il capitale espresso nel proprio base asset, mantenendo entro limiti prestabiliti le esposizioni nette verso asset diversi dal base asset.</w:t>
            </w:r>
          </w:p>
        </w:tc>
      </w:tr>
    </w:tbl>
    <w:p>
      <w:pPr>
        <w:spacing w:after="0"/>
      </w:pPr>
    </w:p>
    <w:p>
      <w:r>
        <w:t>Il base asset determina l’unità di successo del prodotto. Un vault BTC mira ad aumentare BTC; un vault ETH mira ad aumentare ETH; un vault USDC mira ad aumentare USDC. Il frontend può mostrare il valore equivalente in USD, ma la contabilità primaria resta nel base asset.</w:t>
      </w:r>
    </w:p>
    <w:p>
      <w:pPr>
        <w:pStyle w:val="Heading1"/>
      </w:pPr>
      <w:r>
        <w:t>2. Profili utente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Profilo</w:t>
            </w:r>
          </w:p>
        </w:tc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Obiettivo</w:t>
            </w:r>
          </w:p>
        </w:tc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Caratteristiche indicative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Conservativo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Preservazione e liquidità elevate.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Lending semplice, borrowing assente o minimo, protocolli maturi, riserva elevata, limiti più severi.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Bilanciato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Maggiore rendimento con rischio controllato.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Strategie concatenate selezionate, Pendle e restaking limitati, concentrazione moderata.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Avanzato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Rendimento superiore accettando maggiore complessità.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Strategie più articolate, perpetual/hedging autorizzati, liquidità e buffer inferiori ma sempre entro hard limit.</w:t>
            </w:r>
          </w:p>
        </w:tc>
      </w:tr>
    </w:tbl>
    <w:p>
      <w:pPr>
        <w:spacing w:after="0"/>
      </w:pPr>
    </w:p>
    <w:p>
      <w:pPr>
        <w:pStyle w:val="Heading1"/>
      </w:pPr>
      <w:r>
        <w:t>3. Famiglie di base asset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Famiglia</w:t>
            </w:r>
          </w:p>
        </w:tc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Base asset iniziali</w:t>
            </w:r>
          </w:p>
        </w:tc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Misura primaria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Stablecoin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USDC; in futuro USDT e altri asset approvati.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Unità del base asset, con attenzione a depeg e rischio emittente.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ETH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WETH nel core; helper opzionale per ETH nativo.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Unità di ETH/WETH.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BTC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WBTC o altro wrapper approvato.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Unità di BTC rappresentato, includendo rischio del wrapper.</w:t>
            </w:r>
          </w:p>
        </w:tc>
      </w:tr>
    </w:tbl>
    <w:p>
      <w:pPr>
        <w:spacing w:after="0"/>
      </w:pPr>
    </w:p>
    <w:p>
      <w:pPr>
        <w:pStyle w:val="Heading1"/>
      </w:pPr>
      <w:r>
        <w:t>4. Tassonomia dei livelli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Livello</w:t>
            </w:r>
          </w:p>
        </w:tc>
        <w:tc>
          <w:tcPr>
            <w:tcW w:type="dxa" w:w="24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4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Esempi</w:t>
            </w:r>
          </w:p>
        </w:tc>
        <w:tc>
          <w:tcPr>
            <w:tcW w:type="dxa" w:w="2498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Regola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1 — Base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Interazione o strategia specifica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Lending, staking, fixed-yield, hedge, protocol-specific vault.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Interagisce con protocolli esterni; non investe in vault pari o superiori.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2 — Strategia composta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Combina più gambe o vault base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Delta-neutral ETH, stable strategy, BTC yield strategy.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Può investire soltanto nel livello inferiore.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3 — General per asset e rischio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Aggrega strategie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USDC Conservativo, ETH Bilanciato, BTC Avanzato.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Diversifica tra vault inferiori autorizzati.</w:t>
            </w:r>
          </w:p>
        </w:tc>
      </w:tr>
      <w:tr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4 — Top level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Prodotto generalista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Possibile USDC General.</w:t>
            </w:r>
          </w:p>
        </w:tc>
        <w:tc>
          <w:tcPr>
            <w:tcW w:type="dxa" w:w="2498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Investe nei livelli inferiori senza cicli.</w:t>
            </w:r>
          </w:p>
        </w:tc>
      </w:tr>
    </w:tbl>
    <w:p>
      <w:pPr>
        <w:spacing w:after="0"/>
      </w:pPr>
    </w:p>
    <w:p>
      <w:pPr>
        <w:pStyle w:val="Heading1"/>
      </w:pPr>
      <w:r>
        <w:t>5. Grafo aciclico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4CC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9C0006"/>
                <w:sz w:val="20"/>
              </w:rPr>
              <w:t>La piramide deve essere implementata come DAG: un vault può investire soltanto in livelli inferiori e non può possedere direttamente o indirettamente le proprie share.</w:t>
            </w:r>
          </w:p>
        </w:tc>
      </w:tr>
    </w:tbl>
    <w:p>
      <w:pPr>
        <w:spacing w:after="0"/>
      </w:pPr>
    </w:p>
    <w:p>
      <w:pPr>
        <w:pStyle w:val="ListBullet"/>
      </w:pPr>
      <w:r>
        <w:t>Verifica delle dipendenze dirette e indirette al momento dell’autorizzazione.</w:t>
      </w:r>
    </w:p>
    <w:p>
      <w:pPr>
        <w:pStyle w:val="ListBullet"/>
      </w:pPr>
      <w:r>
        <w:t>Profondità massima configurata.</w:t>
      </w:r>
    </w:p>
    <w:p>
      <w:pPr>
        <w:pStyle w:val="ListBullet"/>
      </w:pPr>
      <w:r>
        <w:t>Divieto di investire nello stesso livello o in un livello superiore.</w:t>
      </w:r>
    </w:p>
    <w:p>
      <w:pPr>
        <w:pStyle w:val="ListBullet"/>
      </w:pPr>
      <w:r>
        <w:t>TVL lordo separato dal capitale esterno netto per evitare doppio conteggio.</w:t>
      </w:r>
    </w:p>
    <w:p>
      <w:pPr>
        <w:pStyle w:val="ListBullet"/>
      </w:pPr>
      <w:r>
        <w:t>Esposizioni calcolate look-through fino ai protocolli sottostanti.</w:t>
      </w:r>
    </w:p>
    <w:p>
      <w:pPr>
        <w:pStyle w:val="Heading1"/>
      </w:pPr>
      <w:r>
        <w:t>6. Share e libertà dell’utente</w:t>
      </w:r>
    </w:p>
    <w:p>
      <w:r>
        <w:t>Ogni combinazione chain–base asset–profilo avrà presumibilmente una share token distinta, ERC-4626 e con 18 decimali. Le share saranno trasferibili. Jethos non può impedire a un utente di utilizzarle esternamente, ma può decidere quali integrazioni sostenere ufficialmente.</w:t>
      </w:r>
    </w:p>
    <w:p>
      <w:pPr>
        <w:pStyle w:val="Heading1"/>
      </w:pPr>
      <w:r>
        <w:t>7. Uso futuro come collaterale: cinque rischi obbligatori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Rischio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Descrizione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Contagio vault–lending market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Calo o illiquidità della share può generare liquidazioni, richieste di rimborso e bad debt che ritornano sul vault.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Manipolazione del prezzo per share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Donazioni, oracle fragili, NAV obsoleto o reward illiquide possono gonfiare il valore usato per prendere in prestito.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Prelievi asincroni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Il liquidatore può ricevere una share non riscattabile immediatamente e rifiutarsi di liquidare senza forte sconto.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Mismatch di liquidità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7"/>
              </w:rPr>
              <w:t>Share trasferibile e NAV elevato non significano che gli asset sottostanti siano immediatamente liquidabili.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Cicli e leva ricorsiva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7"/>
              </w:rPr>
              <w:t>Vault e lending market possono creare TVL apparente, leva nascosta e dipendenze circolari.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375623"/>
                <w:sz w:val="20"/>
              </w:rPr>
              <w:t>Politica: share trasferibili fin dal principio; collateralizzazione ufficiale soltanto in una fase successiva, con LTV conservativi, cap, oracle robusti, mercati isolati e blocco delle ricorsioni.</w:t>
            </w:r>
          </w:p>
        </w:tc>
      </w:tr>
    </w:tbl>
    <w:p>
      <w:pPr>
        <w:spacing w:after="0"/>
      </w:pPr>
    </w:p>
    <w:p>
      <w:pPr>
        <w:pStyle w:val="Heading1"/>
      </w:pPr>
      <w:r>
        <w:t>8. Ecosistema ufficiale e futuro sandbox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4997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Modello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Iniziale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Soltanto vault ufficiali curati da Jethos. Team proponente, community approval futura.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Intermedia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Possibili integrazioni esterne degli share token, senza diventare automaticamente prodotti ufficiali.</w:t>
            </w:r>
          </w:p>
        </w:tc>
      </w:tr>
      <w:tr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Futura</w:t>
            </w:r>
          </w:p>
        </w:tc>
        <w:tc>
          <w:tcPr>
            <w:tcW w:type="dxa" w:w="4997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Eventuale sandbox permissionless chiaramente separata, con rating e avvertenze.</w:t>
            </w:r>
          </w:p>
        </w:tc>
      </w:tr>
    </w:tbl>
    <w:p>
      <w:pPr>
        <w:spacing w:after="0"/>
      </w:pPr>
    </w:p>
    <w:p>
      <w:pPr>
        <w:pStyle w:val="Heading1"/>
      </w:pPr>
      <w:r>
        <w:t>9. Primo prodotto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JethosCallout"/>
            </w:pPr>
            <w:r>
              <w:rPr>
                <w:rFonts w:ascii="Aptos" w:hAnsi="Aptos"/>
                <w:b/>
                <w:color w:val="375623"/>
                <w:sz w:val="20"/>
              </w:rPr>
              <w:t>PoC 1A: singolo vault USDC Conservativo su Arbitrum, supply-only, Aave V3/Morpho Blue/Euler V2, capitale privato iniziale di circa 100 USDC.</w:t>
            </w:r>
          </w:p>
        </w:tc>
      </w:tr>
    </w:tbl>
    <w:p>
      <w:pPr>
        <w:spacing w:after="0"/>
      </w:pPr>
    </w:p>
    <w:p>
      <w:pPr>
        <w:pStyle w:val="Heading1"/>
      </w:pPr>
      <w:r>
        <w:t>10. Naming provvisorio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Formato suggerito</w:t>
            </w:r>
          </w:p>
        </w:tc>
        <w:tc>
          <w:tcPr>
            <w:tcW w:type="dxa" w:w="3331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Esempio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Vault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Jethos + Asset + Profilo + Chain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Jethos USDC Conservative — Arbitrum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Share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j + Asset + Profilo breve + Chain breve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jUSDC-C-ARB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Strategia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Tipo + Protocollo/mercato + versione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sz w:val="18"/>
              </w:rPr>
              <w:t>Lending Optimizer Aave–Morpho–Euler v1</w:t>
            </w:r>
          </w:p>
        </w:tc>
      </w:tr>
      <w:tr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Deployment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Versione esplicita</w:t>
            </w:r>
          </w:p>
        </w:tc>
        <w:tc>
          <w:tcPr>
            <w:tcW w:type="dxa" w:w="3331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  <w:shd w:fill="F2F2F2"/>
          </w:tcPr>
          <w:p>
            <w:r>
              <w:rPr>
                <w:rFonts w:ascii="Aptos" w:hAnsi="Aptos"/>
                <w:sz w:val="18"/>
              </w:rPr>
              <w:t>Vault v1; Vault v2 tramite migrazione.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5"/>
      </w:rPr>
      <w:t>Documento di lavoro — decisioni da validare tramite codice, test, audit e governance.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66666"/>
        <w:sz w:val="16"/>
      </w:rPr>
      <w:t>Jethos Protocol · Documentazione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6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C659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0F6B6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ethosCallout">
    <w:name w:val="Jethos Callout"/>
    <w:pPr>
      <w:spacing w:before="120" w:after="140"/>
      <w:ind w:left="317" w:right="317"/>
    </w:pPr>
    <w:rPr>
      <w:rFonts w:ascii="Aptos" w:hAnsi="Aptos"/>
      <w:color w:val="17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