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  <w:jc w:val="center"/>
      </w:pPr>
      <w:r>
        <w:rPr>
          <w:rFonts w:ascii="Aptos Display" w:hAnsi="Aptos Display"/>
          <w:b/>
          <w:color w:val="0F6B6D"/>
          <w:sz w:val="32"/>
        </w:rPr>
        <w:t>JETHOS PROTOCOL</w:t>
      </w:r>
    </w:p>
    <w:p>
      <w:pPr>
        <w:pStyle w:val="Title"/>
        <w:jc w:val="center"/>
      </w:pPr>
      <w:r>
        <w:t>Protocol Architecture</w:t>
      </w:r>
    </w:p>
    <w:p>
      <w:pPr>
        <w:pStyle w:val="Subtitle"/>
        <w:jc w:val="center"/>
      </w:pPr>
      <w:r>
        <w:t>Core, plugin, automazione e confini di fiducia</w:t>
      </w:r>
    </w:p>
    <w:p>
      <w:pPr>
        <w:spacing w:before="500"/>
        <w:jc w:val="center"/>
      </w:pPr>
      <w:r>
        <w:rPr>
          <w:rFonts w:ascii="Aptos" w:hAnsi="Aptos"/>
          <w:color w:val="666666"/>
          <w:sz w:val="21"/>
        </w:rPr>
        <w:t>Versione 0.1 · 22 luglio 2026</w:t>
      </w:r>
    </w:p>
    <w:p>
      <w:pPr>
        <w:jc w:val="center"/>
      </w:pPr>
      <w:r>
        <w:rPr>
          <w:rFonts w:ascii="Aptos" w:hAnsi="Aptos"/>
          <w:b/>
          <w:color w:val="C65911"/>
          <w:sz w:val="20"/>
        </w:rPr>
        <w:t>Stato: bozza di lavoro consolidata</w:t>
      </w:r>
    </w:p>
    <w:p>
      <w:r>
        <w:br w:type="page"/>
      </w:r>
    </w:p>
    <w:p>
      <w:pPr>
        <w:pStyle w:val="Heading1"/>
      </w:pPr>
      <w:r>
        <w:t>Base documentale e stato delle informazioni</w:t>
      </w:r>
    </w:p>
    <w:p>
      <w:r>
        <w:rPr>
          <w:b/>
        </w:rPr>
        <w:t xml:space="preserve">Fonti iniziali fornite: </w:t>
      </w:r>
      <w:r>
        <w:t>Plan_baseasssetabstraction.md; explenation_file.md; plan_baseasset_phases.md.</w:t>
      </w:r>
    </w:p>
    <w:p>
      <w:r>
        <w:rPr>
          <w:b/>
        </w:rPr>
        <w:t xml:space="preserve">Decisioni consolidate: </w:t>
      </w:r>
      <w:r>
        <w:t>risposte e chiarimenti forniti nella conversazione fino al 22 luglio 2026.</w:t>
      </w:r>
    </w:p>
    <w:p>
      <w:r>
        <w:rPr>
          <w:b/>
        </w:rPr>
        <w:t xml:space="preserve">Regola di prevalenza: </w:t>
      </w:r>
      <w:r>
        <w:t>quando un documento iniziale descrive una fase come futura ma la conversazione conferma che è stata implementata, il documento riporta entrambe le informazioni e considera la decisione più recente come stato corrente dichiarato.</w:t>
      </w:r>
    </w:p>
    <w:p>
      <w:r>
        <w:t>I documenti iniziali descrivono la Base Asset Abstraction come Fase 0. La decisione più recente dichiara che tale implementazione è stata completata: il presente documento la tratta come stato corrente da verificare contro il repository.</w:t>
      </w:r>
    </w:p>
    <w:p>
      <w:pPr>
        <w:pStyle w:val="Heading1"/>
      </w:pPr>
      <w:r>
        <w:t>1. Principio architetturale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E2F0D9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pStyle w:val="JethosCallout"/>
            </w:pPr>
            <w:r>
              <w:rPr>
                <w:rFonts w:ascii="Aptos" w:hAnsi="Aptos"/>
                <w:b/>
                <w:color w:val="375623"/>
                <w:sz w:val="20"/>
              </w:rPr>
              <w:t>Il core tratta esclusivamente ERC-20 come base asset. Per il prodotto ETH il base asset è WETH; un helper separato può offrire UX ETH nativo senza biforcare il core.</w:t>
            </w:r>
          </w:p>
        </w:tc>
      </w:tr>
    </w:tbl>
    <w:p>
      <w:pPr>
        <w:spacing w:after="0"/>
      </w:pPr>
    </w:p>
    <w:p>
      <w:pPr>
        <w:pStyle w:val="Heading1"/>
      </w:pPr>
      <w:r>
        <w:t>2. Componenti principali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4997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Componente</w:t>
            </w:r>
          </w:p>
        </w:tc>
        <w:tc>
          <w:tcPr>
            <w:tcW w:type="dxa" w:w="4997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Responsabilità</w:t>
            </w:r>
          </w:p>
        </w:tc>
      </w:tr>
      <w:tr>
        <w:tc>
          <w:tcPr>
            <w:tcW w:type="dxa" w:w="499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7"/>
              </w:rPr>
              <w:t>Beacon / Config registry</w:t>
            </w:r>
          </w:p>
        </w:tc>
        <w:tc>
          <w:tcPr>
            <w:tcW w:type="dxa" w:w="499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7"/>
              </w:rPr>
              <w:t>Risoluzione di BASE_ASSET, manager, plugin e indirizzi configurati.</w:t>
            </w:r>
          </w:p>
        </w:tc>
      </w:tr>
      <w:tr>
        <w:tc>
          <w:tcPr>
            <w:tcW w:type="dxa" w:w="499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r>
              <w:rPr>
                <w:rFonts w:ascii="Aptos" w:hAnsi="Aptos"/>
                <w:sz w:val="17"/>
              </w:rPr>
              <w:t>LiquidityManager</w:t>
            </w:r>
          </w:p>
        </w:tc>
        <w:tc>
          <w:tcPr>
            <w:tcW w:type="dxa" w:w="499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r>
              <w:rPr>
                <w:rFonts w:ascii="Aptos" w:hAnsi="Aptos"/>
                <w:sz w:val="17"/>
              </w:rPr>
              <w:t>Depositi, prelievi, fee, riserva e orchestrazione della liquidità.</w:t>
            </w:r>
          </w:p>
        </w:tc>
      </w:tr>
      <w:tr>
        <w:tc>
          <w:tcPr>
            <w:tcW w:type="dxa" w:w="499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7"/>
              </w:rPr>
              <w:t>ProxyGeneral / Custody execution layer</w:t>
            </w:r>
          </w:p>
        </w:tc>
        <w:tc>
          <w:tcPr>
            <w:tcW w:type="dxa" w:w="499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7"/>
              </w:rPr>
              <w:t>Detenzione operativa e chiamate consentite verso plugin e protocolli.</w:t>
            </w:r>
          </w:p>
        </w:tc>
      </w:tr>
      <w:tr>
        <w:tc>
          <w:tcPr>
            <w:tcW w:type="dxa" w:w="499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r>
              <w:rPr>
                <w:rFonts w:ascii="Aptos" w:hAnsi="Aptos"/>
                <w:sz w:val="17"/>
              </w:rPr>
              <w:t>TokenManager</w:t>
            </w:r>
          </w:p>
        </w:tc>
        <w:tc>
          <w:tcPr>
            <w:tcW w:type="dxa" w:w="499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r>
              <w:rPr>
                <w:rFonts w:ascii="Aptos" w:hAnsi="Aptos"/>
                <w:sz w:val="17"/>
              </w:rPr>
              <w:t>Registro di token diversi dal base asset e relativi metadati.</w:t>
            </w:r>
          </w:p>
        </w:tc>
      </w:tr>
      <w:tr>
        <w:tc>
          <w:tcPr>
            <w:tcW w:type="dxa" w:w="499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7"/>
              </w:rPr>
              <w:t>ValueCalculator</w:t>
            </w:r>
          </w:p>
        </w:tc>
        <w:tc>
          <w:tcPr>
            <w:tcW w:type="dxa" w:w="499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7"/>
              </w:rPr>
              <w:t>NAV, valore delle posizioni e conversione nel base asset.</w:t>
            </w:r>
          </w:p>
        </w:tc>
      </w:tr>
      <w:tr>
        <w:tc>
          <w:tcPr>
            <w:tcW w:type="dxa" w:w="499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r>
              <w:rPr>
                <w:rFonts w:ascii="Aptos" w:hAnsi="Aptos"/>
                <w:sz w:val="17"/>
              </w:rPr>
              <w:t>SwapManager</w:t>
            </w:r>
          </w:p>
        </w:tc>
        <w:tc>
          <w:tcPr>
            <w:tcW w:type="dxa" w:w="499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r>
              <w:rPr>
                <w:rFonts w:ascii="Aptos" w:hAnsi="Aptos"/>
                <w:sz w:val="17"/>
              </w:rPr>
              <w:t>Swap autorizzati, limiti di slippage e routing verso il base asset.</w:t>
            </w:r>
          </w:p>
        </w:tc>
      </w:tr>
      <w:tr>
        <w:tc>
          <w:tcPr>
            <w:tcW w:type="dxa" w:w="499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7"/>
              </w:rPr>
              <w:t>ProtocolManager</w:t>
            </w:r>
          </w:p>
        </w:tc>
        <w:tc>
          <w:tcPr>
            <w:tcW w:type="dxa" w:w="499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7"/>
              </w:rPr>
              <w:t>Coordinamento delle posizioni tra plugin.</w:t>
            </w:r>
          </w:p>
        </w:tc>
      </w:tr>
      <w:tr>
        <w:tc>
          <w:tcPr>
            <w:tcW w:type="dxa" w:w="499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r>
              <w:rPr>
                <w:rFonts w:ascii="Aptos" w:hAnsi="Aptos"/>
                <w:sz w:val="17"/>
              </w:rPr>
              <w:t>EmergencyHandler</w:t>
            </w:r>
          </w:p>
        </w:tc>
        <w:tc>
          <w:tcPr>
            <w:tcW w:type="dxa" w:w="499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r>
              <w:rPr>
                <w:rFonts w:ascii="Aptos" w:hAnsi="Aptos"/>
                <w:sz w:val="17"/>
              </w:rPr>
              <w:t>Pause, unwind, recovery e modalità di emergenza.</w:t>
            </w:r>
          </w:p>
        </w:tc>
      </w:tr>
      <w:tr>
        <w:tc>
          <w:tcPr>
            <w:tcW w:type="dxa" w:w="499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7"/>
              </w:rPr>
              <w:t>Plugin + Registry + LensAdapter</w:t>
            </w:r>
          </w:p>
        </w:tc>
        <w:tc>
          <w:tcPr>
            <w:tcW w:type="dxa" w:w="499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7"/>
              </w:rPr>
              <w:t>Integrazione specifica di protocollo, configurazione e letture.</w:t>
            </w:r>
          </w:p>
        </w:tc>
      </w:tr>
      <w:tr>
        <w:tc>
          <w:tcPr>
            <w:tcW w:type="dxa" w:w="499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r>
              <w:rPr>
                <w:rFonts w:ascii="Aptos" w:hAnsi="Aptos"/>
                <w:sz w:val="17"/>
              </w:rPr>
              <w:t>DepositHelper</w:t>
            </w:r>
          </w:p>
        </w:tc>
        <w:tc>
          <w:tcPr>
            <w:tcW w:type="dxa" w:w="499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r>
              <w:rPr>
                <w:rFonts w:ascii="Aptos" w:hAnsi="Aptos"/>
                <w:sz w:val="17"/>
              </w:rPr>
              <w:t>Wrapping/unwrapping ETH↔WETH per il solo prodotto ETH.</w:t>
            </w:r>
          </w:p>
        </w:tc>
      </w:tr>
    </w:tbl>
    <w:p>
      <w:pPr>
        <w:spacing w:after="0"/>
      </w:pPr>
    </w:p>
    <w:p>
      <w:pPr>
        <w:pStyle w:val="Heading1"/>
      </w:pPr>
      <w:r>
        <w:t>3. Stato multi-base-asset</w:t>
      </w:r>
    </w:p>
    <w:p>
      <w:pPr>
        <w:pStyle w:val="ListBullet"/>
      </w:pPr>
      <w:r>
        <w:t>BASE_ASSET configurabile per deployment.</w:t>
      </w:r>
    </w:p>
    <w:p>
      <w:pPr>
        <w:pStyle w:val="ListBullet"/>
      </w:pPr>
      <w:r>
        <w:t>Depositi e prelievi del core tramite SafeERC20.</w:t>
      </w:r>
    </w:p>
    <w:p>
      <w:pPr>
        <w:pStyle w:val="ListBullet"/>
      </w:pPr>
      <w:r>
        <w:t>Valutazione denominata nel base asset, con prezzi oracle per le esposizioni esterne.</w:t>
      </w:r>
    </w:p>
    <w:p>
      <w:pPr>
        <w:pStyle w:val="ListBullet"/>
      </w:pPr>
      <w:r>
        <w:t>Plugin risolvono dinamicamente il base asset.</w:t>
      </w:r>
    </w:p>
    <w:p>
      <w:pPr>
        <w:pStyle w:val="ListBullet"/>
      </w:pPr>
      <w:r>
        <w:t>Deployment separati possono usare WETH, USDC, WBTC o altri ERC-20 approvati.</w:t>
      </w:r>
    </w:p>
    <w:p>
      <w:pPr>
        <w:pStyle w:val="ListBullet"/>
      </w:pPr>
      <w:r>
        <w:t>Configurazioni chain-specific separano token, oracle, protocolli e parametri gas.</w:t>
      </w:r>
    </w:p>
    <w:p>
      <w:pPr>
        <w:pStyle w:val="Heading1"/>
      </w:pPr>
      <w:r>
        <w:t>4. Plugin model</w:t>
      </w:r>
    </w:p>
    <w:p>
      <w:r>
        <w:t>Ogni protocollo è integrato tramite un insieme coerente di moduli. Il pattern iniziale è denominato “3 Musketeers”: Registry, Plugin e LensAdapter. Il plugin esegue operazioni consentite; il registry conserva mercati e configurazioni; il lens espone letture e dati normalizzati.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4997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Regola</w:t>
            </w:r>
          </w:p>
        </w:tc>
        <w:tc>
          <w:tcPr>
            <w:tcW w:type="dxa" w:w="4997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Requisito</w:t>
            </w:r>
          </w:p>
        </w:tc>
      </w:tr>
      <w:tr>
        <w:tc>
          <w:tcPr>
            <w:tcW w:type="dxa" w:w="499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8"/>
              </w:rPr>
              <w:t>Autorizzazione</w:t>
            </w:r>
          </w:p>
        </w:tc>
        <w:tc>
          <w:tcPr>
            <w:tcW w:type="dxa" w:w="499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8"/>
              </w:rPr>
              <w:t>Nessun plugin non censito può ricevere fondi o approvazioni.</w:t>
            </w:r>
          </w:p>
        </w:tc>
      </w:tr>
      <w:tr>
        <w:tc>
          <w:tcPr>
            <w:tcW w:type="dxa" w:w="499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r>
              <w:rPr>
                <w:rFonts w:ascii="Aptos" w:hAnsi="Aptos"/>
                <w:sz w:val="18"/>
              </w:rPr>
              <w:t>Mercati</w:t>
            </w:r>
          </w:p>
        </w:tc>
        <w:tc>
          <w:tcPr>
            <w:tcW w:type="dxa" w:w="499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r>
              <w:rPr>
                <w:rFonts w:ascii="Aptos" w:hAnsi="Aptos"/>
                <w:sz w:val="18"/>
              </w:rPr>
              <w:t>Ogni mercato, vault o pool deve essere approvato separatamente.</w:t>
            </w:r>
          </w:p>
        </w:tc>
      </w:tr>
      <w:tr>
        <w:tc>
          <w:tcPr>
            <w:tcW w:type="dxa" w:w="499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8"/>
              </w:rPr>
              <w:t>Token</w:t>
            </w:r>
          </w:p>
        </w:tc>
        <w:tc>
          <w:tcPr>
            <w:tcW w:type="dxa" w:w="499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8"/>
              </w:rPr>
              <w:t>Solo token autorizzati e base asset configurato.</w:t>
            </w:r>
          </w:p>
        </w:tc>
      </w:tr>
      <w:tr>
        <w:tc>
          <w:tcPr>
            <w:tcW w:type="dxa" w:w="499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r>
              <w:rPr>
                <w:rFonts w:ascii="Aptos" w:hAnsi="Aptos"/>
                <w:sz w:val="18"/>
              </w:rPr>
              <w:t>Allowance</w:t>
            </w:r>
          </w:p>
        </w:tc>
        <w:tc>
          <w:tcPr>
            <w:tcW w:type="dxa" w:w="499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r>
              <w:rPr>
                <w:rFonts w:ascii="Aptos" w:hAnsi="Aptos"/>
                <w:sz w:val="18"/>
              </w:rPr>
              <w:t>Importi limitati o forceApprove controllato; revoca di emergenza.</w:t>
            </w:r>
          </w:p>
        </w:tc>
      </w:tr>
      <w:tr>
        <w:tc>
          <w:tcPr>
            <w:tcW w:type="dxa" w:w="499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8"/>
              </w:rPr>
              <w:t>Destinatari</w:t>
            </w:r>
          </w:p>
        </w:tc>
        <w:tc>
          <w:tcPr>
            <w:tcW w:type="dxa" w:w="499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8"/>
              </w:rPr>
              <w:t>Nessun destinatario arbitrario selezionabile dal backend.</w:t>
            </w:r>
          </w:p>
        </w:tc>
      </w:tr>
      <w:tr>
        <w:tc>
          <w:tcPr>
            <w:tcW w:type="dxa" w:w="499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r>
              <w:rPr>
                <w:rFonts w:ascii="Aptos" w:hAnsi="Aptos"/>
                <w:sz w:val="18"/>
              </w:rPr>
              <w:t>Chiusura</w:t>
            </w:r>
          </w:p>
        </w:tc>
        <w:tc>
          <w:tcPr>
            <w:tcW w:type="dxa" w:w="499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r>
              <w:rPr>
                <w:rFonts w:ascii="Aptos" w:hAnsi="Aptos"/>
                <w:sz w:val="18"/>
              </w:rPr>
              <w:t>Ogni plugin deve supportare unwind e recupero del base asset secondo modalità dichiarate.</w:t>
            </w:r>
          </w:p>
        </w:tc>
      </w:tr>
    </w:tbl>
    <w:p>
      <w:pPr>
        <w:spacing w:after="0"/>
      </w:pPr>
    </w:p>
    <w:p>
      <w:pPr>
        <w:pStyle w:val="Heading1"/>
      </w:pPr>
      <w:r>
        <w:t>5. Backend e smart contract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E2F0D9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pStyle w:val="JethosCallout"/>
            </w:pPr>
            <w:r>
              <w:rPr>
                <w:rFonts w:ascii="Aptos" w:hAnsi="Aptos"/>
                <w:b/>
                <w:color w:val="375623"/>
                <w:sz w:val="20"/>
              </w:rPr>
              <w:t>Jethos può utilizzare esclusivamente i fondi che l’utente ha depositato esplicitamente in un vault e soltanto verso contratti, plugin, protocolli, mercati, token e vault previamente autorizzati. Nessuna chiave operativa può trasferire arbitrariamente il capitale verso destinatari liberi.</w:t>
            </w:r>
          </w:p>
        </w:tc>
      </w:tr>
    </w:tbl>
    <w:p>
      <w:pPr>
        <w:spacing w:after="0"/>
      </w:pPr>
    </w:p>
    <w:p>
      <w:r>
        <w:t>Il backend calcola rischio, rendimento, liquidità, utilization e convenienza. Lo smart contract non deve replicare l’intero modello quantitativo, ma deve applicare hard limit verificabili e non aggirabili.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4997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Backend propone</w:t>
            </w:r>
          </w:p>
        </w:tc>
        <w:tc>
          <w:tcPr>
            <w:tcW w:type="dxa" w:w="4997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Contratto verifica</w:t>
            </w:r>
          </w:p>
        </w:tc>
      </w:tr>
      <w:tr>
        <w:tc>
          <w:tcPr>
            <w:tcW w:type="dxa" w:w="499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7"/>
              </w:rPr>
              <w:t>Deposita o ritira da un protocollo</w:t>
            </w:r>
          </w:p>
        </w:tc>
        <w:tc>
          <w:tcPr>
            <w:tcW w:type="dxa" w:w="499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7"/>
              </w:rPr>
              <w:t>Plugin, protocollo, mercato e importo autorizzati.</w:t>
            </w:r>
          </w:p>
        </w:tc>
      </w:tr>
      <w:tr>
        <w:tc>
          <w:tcPr>
            <w:tcW w:type="dxa" w:w="499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r>
              <w:rPr>
                <w:rFonts w:ascii="Aptos" w:hAnsi="Aptos"/>
                <w:sz w:val="17"/>
              </w:rPr>
              <w:t>Borrow/repay</w:t>
            </w:r>
          </w:p>
        </w:tc>
        <w:tc>
          <w:tcPr>
            <w:tcW w:type="dxa" w:w="499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r>
              <w:rPr>
                <w:rFonts w:ascii="Aptos" w:hAnsi="Aptos"/>
                <w:sz w:val="17"/>
              </w:rPr>
              <w:t>Debt ratio, LTV, health factor post-operazione e cap.</w:t>
            </w:r>
          </w:p>
        </w:tc>
      </w:tr>
      <w:tr>
        <w:tc>
          <w:tcPr>
            <w:tcW w:type="dxa" w:w="499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7"/>
              </w:rPr>
              <w:t>Swap</w:t>
            </w:r>
          </w:p>
        </w:tc>
        <w:tc>
          <w:tcPr>
            <w:tcW w:type="dxa" w:w="499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7"/>
              </w:rPr>
              <w:t>Token, router, oracle, slippage e destinatario.</w:t>
            </w:r>
          </w:p>
        </w:tc>
      </w:tr>
      <w:tr>
        <w:tc>
          <w:tcPr>
            <w:tcW w:type="dxa" w:w="499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r>
              <w:rPr>
                <w:rFonts w:ascii="Aptos" w:hAnsi="Aptos"/>
                <w:sz w:val="17"/>
              </w:rPr>
              <w:t>Ribilanciamento</w:t>
            </w:r>
          </w:p>
        </w:tc>
        <w:tc>
          <w:tcPr>
            <w:tcW w:type="dxa" w:w="499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r>
              <w:rPr>
                <w:rFonts w:ascii="Aptos" w:hAnsi="Aptos"/>
                <w:sz w:val="17"/>
              </w:rPr>
              <w:t>Riserva minima, esposizioni, scadenza del segnale e operation ID.</w:t>
            </w:r>
          </w:p>
        </w:tc>
      </w:tr>
      <w:tr>
        <w:tc>
          <w:tcPr>
            <w:tcW w:type="dxa" w:w="499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7"/>
              </w:rPr>
              <w:t>Emergency unwind</w:t>
            </w:r>
          </w:p>
        </w:tc>
        <w:tc>
          <w:tcPr>
            <w:tcW w:type="dxa" w:w="499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7"/>
              </w:rPr>
              <w:t>Modalità attiva, loss budget e operazioni permesse.</w:t>
            </w:r>
          </w:p>
        </w:tc>
      </w:tr>
    </w:tbl>
    <w:p>
      <w:pPr>
        <w:spacing w:after="0"/>
      </w:pPr>
    </w:p>
    <w:p>
      <w:pPr>
        <w:pStyle w:val="Heading1"/>
      </w:pPr>
      <w:r>
        <w:t>6. Hard limit minimi</w:t>
      </w:r>
    </w:p>
    <w:p>
      <w:pPr>
        <w:pStyle w:val="ListBullet"/>
      </w:pPr>
      <w:r>
        <w:t>Plugin, protocollo, mercato e token autorizzati.</w:t>
      </w:r>
    </w:p>
    <w:p>
      <w:pPr>
        <w:pStyle w:val="ListBullet"/>
      </w:pPr>
      <w:r>
        <w:t>Importo massimo per operazione e per periodo.</w:t>
      </w:r>
    </w:p>
    <w:p>
      <w:pPr>
        <w:pStyle w:val="ListBullet"/>
      </w:pPr>
      <w:r>
        <w:t>Cap per vault, strategia, protocollo e mercato.</w:t>
      </w:r>
    </w:p>
    <w:p>
      <w:pPr>
        <w:pStyle w:val="ListBullet"/>
      </w:pPr>
      <w:r>
        <w:t>Slippage e deviazione massima dall’oracle.</w:t>
      </w:r>
    </w:p>
    <w:p>
      <w:pPr>
        <w:pStyle w:val="ListBullet"/>
      </w:pPr>
      <w:r>
        <w:t>Health factor, LTV, leva e debt ratio.</w:t>
      </w:r>
    </w:p>
    <w:p>
      <w:pPr>
        <w:pStyle w:val="ListBullet"/>
      </w:pPr>
      <w:r>
        <w:t>Riserva liquida minima.</w:t>
      </w:r>
    </w:p>
    <w:p>
      <w:pPr>
        <w:pStyle w:val="ListBullet"/>
      </w:pPr>
      <w:r>
        <w:t>Scadenza del segnale e nonce/operation ID.</w:t>
      </w:r>
    </w:p>
    <w:p>
      <w:pPr>
        <w:pStyle w:val="ListBullet"/>
      </w:pPr>
      <w:r>
        <w:t>Divieto di trasferimento verso destinatari arbitrari.</w:t>
      </w:r>
    </w:p>
    <w:p>
      <w:pPr>
        <w:pStyle w:val="ListBullet"/>
      </w:pPr>
      <w:r>
        <w:t>Protezione dalla doppia esecuzione.</w:t>
      </w:r>
    </w:p>
    <w:p>
      <w:pPr>
        <w:pStyle w:val="ListBullet"/>
      </w:pPr>
      <w:r>
        <w:t>Pause granulari e modalità withdraw-only.</w:t>
      </w:r>
    </w:p>
    <w:p>
      <w:pPr>
        <w:pStyle w:val="Heading1"/>
      </w:pPr>
      <w:r>
        <w:t>7. Flusso di deposito</w:t>
      </w:r>
    </w:p>
    <w:p>
      <w:pPr>
        <w:pStyle w:val="ListNumber"/>
      </w:pPr>
      <w:r>
        <w:t>L’utente approva il base asset al vault o a un router autorizzato.</w:t>
      </w:r>
    </w:p>
    <w:p>
      <w:pPr>
        <w:pStyle w:val="ListNumber"/>
      </w:pPr>
      <w:r>
        <w:t>Il vault calcola le share ERC-4626 e verifica minimo, cap e condizioni di sicurezza.</w:t>
      </w:r>
    </w:p>
    <w:p>
      <w:pPr>
        <w:pStyle w:val="ListNumber"/>
      </w:pPr>
      <w:r>
        <w:t>Il base asset entra nel vault e alimenta inizialmente la riserva.</w:t>
      </w:r>
    </w:p>
    <w:p>
      <w:pPr>
        <w:pStyle w:val="ListNumber"/>
      </w:pPr>
      <w:r>
        <w:t>Il backend può successivamente proporre un’allocazione.</w:t>
      </w:r>
    </w:p>
    <w:p>
      <w:pPr>
        <w:pStyle w:val="ListNumber"/>
      </w:pPr>
      <w:r>
        <w:t>Il contratto applica i limiti e il plugin esegue l’operazione.</w:t>
      </w:r>
    </w:p>
    <w:p>
      <w:pPr>
        <w:pStyle w:val="Heading1"/>
      </w:pPr>
      <w:r>
        <w:t>8. Flusso di prelievo sincrono</w:t>
      </w:r>
    </w:p>
    <w:p>
      <w:pPr>
        <w:pStyle w:val="ListNumber"/>
      </w:pPr>
      <w:r>
        <w:t>L’utente richiede asset o riscatta share.</w:t>
      </w:r>
    </w:p>
    <w:p>
      <w:pPr>
        <w:pStyle w:val="ListNumber"/>
      </w:pPr>
      <w:r>
        <w:t>Il vault usa prima la riserva liquida.</w:t>
      </w:r>
    </w:p>
    <w:p>
      <w:pPr>
        <w:pStyle w:val="ListNumber"/>
      </w:pPr>
      <w:r>
        <w:t>Se necessario, recupera capitale dal lending immediatamente liquido.</w:t>
      </w:r>
    </w:p>
    <w:p>
      <w:pPr>
        <w:pStyle w:val="ListNumber"/>
      </w:pPr>
      <w:r>
        <w:t>Nel PoC l’operazione deve concludersi nella transazione o fallire senza effetti parziali.</w:t>
      </w:r>
    </w:p>
    <w:p>
      <w:pPr>
        <w:pStyle w:val="ListNumber"/>
      </w:pPr>
      <w:r>
        <w:t>In futuro ERC-7540 consentirà richieste pendenti e soddisfacimento per epoche.</w:t>
      </w:r>
    </w:p>
    <w:p>
      <w:pPr>
        <w:pStyle w:val="Heading1"/>
      </w:pPr>
      <w:r>
        <w:t>9. Upgrade e migrazione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4997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Fase</w:t>
            </w:r>
          </w:p>
        </w:tc>
        <w:tc>
          <w:tcPr>
            <w:tcW w:type="dxa" w:w="4997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Politica</w:t>
            </w:r>
          </w:p>
        </w:tc>
      </w:tr>
      <w:tr>
        <w:tc>
          <w:tcPr>
            <w:tcW w:type="dxa" w:w="499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8"/>
              </w:rPr>
              <w:t>PoC privato</w:t>
            </w:r>
          </w:p>
        </w:tc>
        <w:tc>
          <w:tcPr>
            <w:tcW w:type="dxa" w:w="499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8"/>
              </w:rPr>
              <w:t>Upgrade immediati consentiti per iterare rapidamente.</w:t>
            </w:r>
          </w:p>
        </w:tc>
      </w:tr>
      <w:tr>
        <w:tc>
          <w:tcPr>
            <w:tcW w:type="dxa" w:w="499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r>
              <w:rPr>
                <w:rFonts w:ascii="Aptos" w:hAnsi="Aptos"/>
                <w:sz w:val="18"/>
              </w:rPr>
              <w:t>Pre-produzione</w:t>
            </w:r>
          </w:p>
        </w:tc>
        <w:tc>
          <w:tcPr>
            <w:tcW w:type="dxa" w:w="499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r>
              <w:rPr>
                <w:rFonts w:ascii="Aptos" w:hAnsi="Aptos"/>
                <w:sz w:val="18"/>
              </w:rPr>
              <w:t>Introduzione di timelock, test di upgrade e procedure multisig.</w:t>
            </w:r>
          </w:p>
        </w:tc>
      </w:tr>
      <w:tr>
        <w:tc>
          <w:tcPr>
            <w:tcW w:type="dxa" w:w="499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8"/>
              </w:rPr>
              <w:t>Prodotto maturo</w:t>
            </w:r>
          </w:p>
        </w:tc>
        <w:tc>
          <w:tcPr>
            <w:tcW w:type="dxa" w:w="499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8"/>
              </w:rPr>
              <w:t>Cambiamenti strutturali e modifica del profilo di rischio tramite nuovo vault e migrazione volontaria quasi sempre preferita.</w:t>
            </w:r>
          </w:p>
        </w:tc>
      </w:tr>
    </w:tbl>
    <w:p>
      <w:pPr>
        <w:spacing w:after="0"/>
      </w:pPr>
    </w:p>
    <w:p>
      <w:pPr>
        <w:pStyle w:val="Heading1"/>
      </w:pPr>
      <w:r>
        <w:t>10. Osservabilità</w:t>
      </w:r>
    </w:p>
    <w:p>
      <w:pPr>
        <w:pStyle w:val="ListBullet"/>
      </w:pPr>
      <w:r>
        <w:t>Eventi per deposito, prelievo, allocazione, borrow, repay, swap, harvest e pause.</w:t>
      </w:r>
    </w:p>
    <w:p>
      <w:pPr>
        <w:pStyle w:val="ListBullet"/>
      </w:pPr>
      <w:r>
        <w:t>Decision log del Strategy Engine con input, output, motivazione e transazioni correlate.</w:t>
      </w:r>
    </w:p>
    <w:p>
      <w:pPr>
        <w:pStyle w:val="ListBullet"/>
      </w:pPr>
      <w:r>
        <w:t>Riconciliazione periodica tra saldo, posizioni, debiti e totalAssets.</w:t>
      </w:r>
    </w:p>
    <w:p>
      <w:pPr>
        <w:pStyle w:val="ListBullet"/>
      </w:pPr>
      <w:r>
        <w:t>Allarmi su oracle, health factor, liquidità, cap e transazioni fallite.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23" w:bottom="1008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666666"/>
        <w:sz w:val="15"/>
      </w:rPr>
      <w:t>Documento di lavoro — decisioni da validare tramite codice, test, audit e governance.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666666"/>
        <w:sz w:val="16"/>
      </w:rPr>
      <w:t>Jethos Protocol · Documentazione v0.1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F6B6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40"/>
      <w:outlineLvl w:val="2"/>
    </w:pPr>
    <w:rPr>
      <w:rFonts w:asciiTheme="majorHAnsi" w:eastAsiaTheme="majorEastAsia" w:hAnsiTheme="majorHAnsi" w:cstheme="majorBidi" w:ascii="Aptos" w:hAnsi="Aptos"/>
      <w:b/>
      <w:bCs/>
      <w:color w:val="C6591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/>
      <w:b w:val="0"/>
      <w:i/>
      <w:iCs/>
      <w:color w:val="0F6B6D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JethosCallout">
    <w:name w:val="Jethos Callout"/>
    <w:pPr>
      <w:spacing w:before="120" w:after="140"/>
      <w:ind w:left="317" w:right="317"/>
    </w:pPr>
    <w:rPr>
      <w:rFonts w:ascii="Aptos" w:hAnsi="Aptos"/>
      <w:color w:val="17365D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