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ptos Display" w:hAnsi="Aptos Display"/>
          <w:b/>
          <w:color w:val="0F6B6D"/>
          <w:sz w:val="32"/>
        </w:rPr>
        <w:t>JETHOS PROTOCOL</w:t>
      </w:r>
    </w:p>
    <w:p>
      <w:pPr>
        <w:pStyle w:val="Title"/>
        <w:jc w:val="center"/>
      </w:pPr>
      <w:r>
        <w:t>Master Vision Document</w:t>
      </w:r>
    </w:p>
    <w:p>
      <w:pPr>
        <w:pStyle w:val="Subtitle"/>
        <w:jc w:val="center"/>
      </w:pPr>
      <w:r>
        <w:t>Visione generale, identità e principi fondamentali</w:t>
      </w:r>
    </w:p>
    <w:p>
      <w:pPr>
        <w:spacing w:before="500"/>
        <w:jc w:val="center"/>
      </w:pPr>
      <w:r>
        <w:rPr>
          <w:rFonts w:ascii="Aptos" w:hAnsi="Aptos"/>
          <w:color w:val="666666"/>
          <w:sz w:val="21"/>
        </w:rPr>
        <w:t>Versione 0.1 · 22 luglio 2026</w:t>
      </w:r>
    </w:p>
    <w:p>
      <w:pPr>
        <w:jc w:val="center"/>
      </w:pPr>
      <w:r>
        <w:rPr>
          <w:rFonts w:ascii="Aptos" w:hAnsi="Aptos"/>
          <w:b/>
          <w:color w:val="C65911"/>
          <w:sz w:val="20"/>
        </w:rPr>
        <w:t>Stato: bozza di lavoro consolidata</w:t>
      </w:r>
    </w:p>
    <w:p>
      <w:r>
        <w:br w:type="page"/>
      </w:r>
    </w:p>
    <w:p>
      <w:pPr>
        <w:pStyle w:val="Heading1"/>
      </w:pPr>
      <w:r>
        <w:t>Base documentale e stato delle informazioni</w:t>
      </w:r>
    </w:p>
    <w:p>
      <w:r>
        <w:rPr>
          <w:b/>
        </w:rPr>
        <w:t xml:space="preserve">Fonti iniziali fornite: </w:t>
      </w:r>
      <w:r>
        <w:t>Plan_baseasssetabstraction.md; explenation_file.md; plan_baseasset_phases.md.</w:t>
      </w:r>
    </w:p>
    <w:p>
      <w:r>
        <w:rPr>
          <w:b/>
        </w:rPr>
        <w:t xml:space="preserve">Decisioni consolidate: </w:t>
      </w:r>
      <w:r>
        <w:t>risposte e chiarimenti forniti nella conversazione fino al 22 luglio 2026.</w:t>
      </w:r>
    </w:p>
    <w:p>
      <w:r>
        <w:rPr>
          <w:b/>
        </w:rPr>
        <w:t xml:space="preserve">Regola di prevalenza: </w:t>
      </w:r>
      <w:r>
        <w:t>quando un documento iniziale descrive una fase come futura ma la conversazione conferma che è stata implementata, il documento riporta entrambe le informazioni e considera la decisione più recente come stato corrente dichiarato.</w:t>
      </w:r>
    </w:p>
    <w:p>
      <w:r>
        <w:t>Stato corrente dichiarato: la Base Asset Abstraction è stata implementata; il core è multi-base-asset e predisposto per deployment EVM multi-chain. Il deployment iniziale non è ancora utilizzato con capitale pubblico reale.</w:t>
      </w:r>
    </w:p>
    <w:p>
      <w:pPr>
        <w:pStyle w:val="Heading1"/>
      </w:pPr>
      <w:r>
        <w:t>Executive summary</w:t>
      </w:r>
    </w:p>
    <w:p>
      <w:r>
        <w:t>Jethos Protocol è un’infrastruttura DeFi e una futura esperienza finanziaria consumer progettata per rendere la proprietà diretta, l’investimento e l’utilizzo degli asset digitali semplici quanto un home banking, senza nascondere dove si trovano i fondi o concedere a un operatore libertà arbitraria sul capitale.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JethosCallout"/>
            </w:pPr>
            <w:r>
              <w:rPr>
                <w:rFonts w:ascii="Aptos" w:hAnsi="Aptos"/>
                <w:b/>
                <w:color w:val="375623"/>
                <w:sz w:val="20"/>
              </w:rPr>
              <w:t>Il vault mira a preservare e accrescere il capitale espresso nel proprio base asset, mantenendo entro limiti prestabiliti le esposizioni nette verso asset diversi dal base asset.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JethosCallout"/>
            </w:pPr>
            <w:r>
              <w:rPr>
                <w:rFonts w:ascii="Aptos" w:hAnsi="Aptos"/>
                <w:b/>
                <w:color w:val="375623"/>
                <w:sz w:val="20"/>
              </w:rPr>
              <w:t>Jethos può utilizzare esclusivamente i fondi che l’utente ha depositato esplicitamente in un vault e soltanto verso contratti, plugin, protocolli, mercati, token e vault previamente autorizzati. Nessuna chiave operativa può trasferire arbitrariamente il capitale verso destinatari liberi.</w:t>
            </w:r>
          </w:p>
        </w:tc>
      </w:tr>
    </w:tbl>
    <w:p>
      <w:pPr>
        <w:spacing w:after="0"/>
      </w:pPr>
    </w:p>
    <w:p>
      <w:pPr>
        <w:pStyle w:val="Heading1"/>
      </w:pPr>
      <w:r>
        <w:t>1. Missione</w:t>
      </w:r>
    </w:p>
    <w:p>
      <w:r>
        <w:t>Rendere facile l’accesso alla blockchain e alla finanza decentralizzata, permettendo alle persone di detenere realmente i propri asset e di investirli in modo chiaro, intuitivo e familiare. Jethos deve semplificare sia l’esperienza dei nuovi utenti sia quella delle persone che già utilizzano la DeFi ma oggi gestiscono manualmente protocolli, chain, liquidazioni, reward e ribilanciamenti.</w:t>
      </w:r>
    </w:p>
    <w:p>
      <w:pPr>
        <w:pStyle w:val="Heading1"/>
      </w:pPr>
      <w:r>
        <w:t>2. Problema</w:t>
      </w:r>
    </w:p>
    <w:p>
      <w:pPr>
        <w:pStyle w:val="ListBullet"/>
      </w:pPr>
      <w:r>
        <w:t>La DeFi è frammentata tra protocolli, mercati, chain, wallet, bridge e interfacce differenti.</w:t>
      </w:r>
    </w:p>
    <w:p>
      <w:pPr>
        <w:pStyle w:val="ListBullet"/>
      </w:pPr>
      <w:r>
        <w:t>Il rendimento mostrato da un mercato non coincide necessariamente con il rendimento netto dopo gas, slippage, fee, rischio e impatto del capitale.</w:t>
      </w:r>
    </w:p>
    <w:p>
      <w:pPr>
        <w:pStyle w:val="ListBullet"/>
      </w:pPr>
      <w:r>
        <w:t>Le strategie con debito richiedono monitoraggio continuo di health factor, liquidità e oracle.</w:t>
      </w:r>
    </w:p>
    <w:p>
      <w:pPr>
        <w:pStyle w:val="ListBullet"/>
      </w:pPr>
      <w:r>
        <w:t>L’utente deve comprendere dettagli tecnici per svolgere attività finanziarie che dovrebbero essere semplici.</w:t>
      </w:r>
    </w:p>
    <w:p>
      <w:pPr>
        <w:pStyle w:val="ListBullet"/>
      </w:pPr>
      <w:r>
        <w:t>Nei servizi tradizionali l’utente spesso non ha visibilità completa sull’utilizzo dei propri fondi.</w:t>
      </w:r>
    </w:p>
    <w:p>
      <w:pPr>
        <w:pStyle w:val="Heading1"/>
      </w:pPr>
      <w:r>
        <w:t>3. Soluzione</w:t>
      </w:r>
    </w:p>
    <w:p>
      <w:r>
        <w:t>Jethos offre vault con regole pubbliche che allocano il capitale tra protocolli e strategie autorizzati. L’utente sceglie asset e profilo di rischio, deposita nel vault e riceve share trasferibili. Il backend analizza opportunità e rischi; gli smart contract applicano limiti non aggirabili e impediscono trasferimenti arbitrari.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JethosCallout"/>
            </w:pPr>
            <w:r>
              <w:rPr>
                <w:rFonts w:ascii="Aptos" w:hAnsi="Aptos"/>
                <w:b/>
                <w:color w:val="375623"/>
                <w:sz w:val="20"/>
              </w:rPr>
              <w:t>L’automazione sceglie l’allocazione con il miglior rendimento netto corretto per rischio tra strategie, mercati e protocolli già autorizzati.</w:t>
            </w:r>
          </w:p>
        </w:tc>
      </w:tr>
    </w:tbl>
    <w:p>
      <w:pPr>
        <w:spacing w:after="0"/>
      </w:pPr>
    </w:p>
    <w:p>
      <w:pPr>
        <w:pStyle w:val="Heading1"/>
      </w:pPr>
      <w:r>
        <w:t>4. Le due anime di Jethos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33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Funzione</w:t>
            </w:r>
          </w:p>
        </w:tc>
        <w:tc>
          <w:tcPr>
            <w:tcW w:type="dxa" w:w="333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Orizzonte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Jethos Protocol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Core on-chain, vault, plugin, accounting, risk limits, share e composabilità.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Priorità attuale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Jethos App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Wallet self-custody, investimento semplice, trasparenza, invio di asset e dashboard.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Progressivo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Servizi finanziari integrati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Carta, pagamenti, partner regolamentati, asset tokenizzati e credito.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Visione futura</w:t>
            </w:r>
          </w:p>
        </w:tc>
      </w:tr>
    </w:tbl>
    <w:p>
      <w:pPr>
        <w:spacing w:after="0"/>
      </w:pPr>
    </w:p>
    <w:p>
      <w:pPr>
        <w:pStyle w:val="Heading1"/>
      </w:pPr>
      <w:r>
        <w:t>5. Portafoglio e fondi investiti</w:t>
      </w:r>
    </w:p>
    <w:p>
      <w:r>
        <w:t>L’applicazione distingue chiaramente due stati: “in portafoglio” e “nei vault”. Gli asset in portafoglio restano sotto il controllo del wallet self-custody e non vengono investiti automaticamente. Gli asset nei vault sono stati depositati volontariamente e seguono regole pubbliche di investimento e prelievo.</w:t>
      </w:r>
    </w:p>
    <w:p>
      <w:pPr>
        <w:pStyle w:val="ListBullet"/>
      </w:pPr>
      <w:r>
        <w:t>L’utente può revocare autorizzazioni future del wallet.</w:t>
      </w:r>
    </w:p>
    <w:p>
      <w:pPr>
        <w:pStyle w:val="ListBullet"/>
      </w:pPr>
      <w:r>
        <w:t>L’utente può smettere di depositare, trasferire le share o richiedere il prelievo.</w:t>
      </w:r>
    </w:p>
    <w:p>
      <w:pPr>
        <w:pStyle w:val="ListBullet"/>
      </w:pPr>
      <w:r>
        <w:t>L’utente non può modificare il ribilanciamento comune del vault soltanto per la propria quota.</w:t>
      </w:r>
    </w:p>
    <w:p>
      <w:pPr>
        <w:pStyle w:val="ListBullet"/>
      </w:pPr>
      <w:r>
        <w:t>Lo stato di prelevabilità deve essere mostrato come immediato, in disinvestimento o pendente.</w:t>
      </w:r>
    </w:p>
    <w:p>
      <w:pPr>
        <w:pStyle w:val="Heading1"/>
      </w:pPr>
      <w:r>
        <w:t>6. Proposta di valore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Pilastro</w:t>
            </w:r>
          </w:p>
        </w:tc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Semplicità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Esperienza familiare, spiegazioni brevi, interazione in pochi passaggi.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Rendimento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Ricerca del miglior rendimento netto corretto per rischio, non del maggiore APY nominale.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Diversificazione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Protocolli, mercati, asset, strategie e in futuro chain differenti.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Gestione del rischio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Tre profili semplici sostenuti da parametri quantitativi e automazioni.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Accesso unificato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Un’unica app e share standard per accedere a più opportunità.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Trasparenza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Posizioni, protocolli, rischi, fee, decisioni e transazioni verificabili.</w:t>
            </w:r>
          </w:p>
        </w:tc>
      </w:tr>
    </w:tbl>
    <w:p>
      <w:pPr>
        <w:spacing w:after="0"/>
      </w:pPr>
    </w:p>
    <w:p>
      <w:pPr>
        <w:pStyle w:val="Heading1"/>
      </w:pPr>
      <w:r>
        <w:t>7. Significato di “banca decentralizzata”</w:t>
      </w:r>
    </w:p>
    <w:p>
      <w:r>
        <w:t>Nel lungo periodo Jethos vuole offrire un portafoglio digitale nel quale l’utente possa detenere, investire, inviare e spendere i propri asset, mantenendo la proprietà economica e una visibilità comprensibile sull’utilizzo dei fondi. Il core DeFi viene prima; carta e pagamenti richiederanno partnership, compliance e soggetti specializzati e sono quindi parte della visione, non del PoC.</w:t>
      </w:r>
    </w:p>
    <w:p>
      <w:pPr>
        <w:pStyle w:val="Heading1"/>
      </w:pPr>
      <w:r>
        <w:t>8. Principi non negoziabili</w:t>
      </w:r>
    </w:p>
    <w:p>
      <w:pPr>
        <w:pStyle w:val="ListNumber"/>
      </w:pPr>
      <w:r>
        <w:t>Protezione del capitale nel base asset prima della massimizzazione del rendimento.</w:t>
      </w:r>
    </w:p>
    <w:p>
      <w:pPr>
        <w:pStyle w:val="ListNumber"/>
      </w:pPr>
      <w:r>
        <w:t>Nessun protocollo o strategia viene adottato soltanto perché mostra un APY elevato.</w:t>
      </w:r>
    </w:p>
    <w:p>
      <w:pPr>
        <w:pStyle w:val="ListNumber"/>
      </w:pPr>
      <w:r>
        <w:t>Esposizioni verso asset diversi dal base asset devono essere neutralizzate, limitate e dichiarate.</w:t>
      </w:r>
    </w:p>
    <w:p>
      <w:pPr>
        <w:pStyle w:val="ListNumber"/>
      </w:pPr>
      <w:r>
        <w:t>Il backend non può impartire calldata arbitraria verso destinatari arbitrari.</w:t>
      </w:r>
    </w:p>
    <w:p>
      <w:pPr>
        <w:pStyle w:val="ListNumber"/>
      </w:pPr>
      <w:r>
        <w:t>Accesso e integrazione dei vault sono aperti; strategie, plugin e protocolli ufficiali sono curati.</w:t>
      </w:r>
    </w:p>
    <w:p>
      <w:pPr>
        <w:pStyle w:val="ListNumber"/>
      </w:pPr>
      <w:r>
        <w:t>I cambiamenti strutturali maturi devono avvenire tramite nuova versione e migrazione esplicita.</w:t>
      </w:r>
    </w:p>
    <w:p>
      <w:pPr>
        <w:pStyle w:val="ListNumber"/>
      </w:pPr>
      <w:r>
        <w:t>La complessità interna non deve essere scaricata sull’utente, ma non deve essere nascosta.</w:t>
      </w:r>
    </w:p>
    <w:p>
      <w:pPr>
        <w:pStyle w:val="Heading1"/>
      </w:pPr>
      <w:r>
        <w:t>9. Utenti e modello di ecosistema</w:t>
      </w:r>
    </w:p>
    <w:p>
      <w:r>
        <w:t>Il target principale è l’utente finale. I vault devono tuttavia essere componibili da smart contract, DAO, treasury, aggregatori e altre applicazioni. Il modello iniziale è un ecosistema interamente curato da Jethos: il team propone e sviluppa, la comunità potrà approvare. Un futuro sandbox permissionless è possibile ma distinto chiaramente dai prodotti ufficiali.</w:t>
      </w:r>
    </w:p>
    <w:p>
      <w:pPr>
        <w:pStyle w:val="Heading1"/>
      </w:pPr>
      <w:r>
        <w:t>10. Posizionamento</w:t>
      </w:r>
    </w:p>
    <w:p>
      <w:r>
        <w:t>Jethos non si differenzia attraverso un singolo protocollo sottostante, ma attraverso l’unificazione dell’esperienza: wallet, vault, automazione, rischio spiegato, share standard, accesso multi-protocollo e progressiva composabilità. I riferimenti concettuali citati includono yield aggregator, carte crypto, protocolli come Yearn e servizi di asset tokenizzati come Ondo, senza che ciò implichi identità di modello o integrazione già disponibile.</w:t>
      </w:r>
    </w:p>
    <w:p>
      <w:pPr>
        <w:pStyle w:val="Heading1"/>
      </w:pPr>
      <w:r>
        <w:t>11. Visione a cinque anni</w:t>
      </w:r>
    </w:p>
    <w:p>
      <w:pPr>
        <w:pStyle w:val="ListBullet"/>
      </w:pPr>
      <w:r>
        <w:t>Core multi-base-asset e multi-chain EVM pienamente operativo.</w:t>
      </w:r>
    </w:p>
    <w:p>
      <w:pPr>
        <w:pStyle w:val="ListBullet"/>
      </w:pPr>
      <w:r>
        <w:t>Famiglie BTC, ETH e stablecoin con profili Conservativo, Bilanciato e Avanzato.</w:t>
      </w:r>
    </w:p>
    <w:p>
      <w:pPr>
        <w:pStyle w:val="ListBullet"/>
      </w:pPr>
      <w:r>
        <w:t>Integrazione progressiva di Aave, Morpho, Euler, Compound, Dolomite, Silo, Pendle, GMX, Venus, Moonwell, Ethena, Sky e altri protocolli approvati.</w:t>
      </w:r>
    </w:p>
    <w:p>
      <w:pPr>
        <w:pStyle w:val="ListBullet"/>
      </w:pPr>
      <w:r>
        <w:t>Piramide di vault componibili e general vault che investono nei livelli inferiori.</w:t>
      </w:r>
    </w:p>
    <w:p>
      <w:pPr>
        <w:pStyle w:val="ListBullet"/>
      </w:pPr>
      <w:r>
        <w:t>Possibile integrazione di servizi finanziari regolamentati e asset del mondo reale tramite partner.</w:t>
      </w:r>
    </w:p>
    <w:p>
      <w:pPr>
        <w:pStyle w:val="Heading1"/>
      </w:pPr>
      <w:r>
        <w:t>12. Limiti delle promesse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JethosCallout"/>
            </w:pPr>
            <w:r>
              <w:rPr>
                <w:rFonts w:ascii="Aptos" w:hAnsi="Aptos"/>
                <w:b/>
                <w:color w:val="C65911"/>
                <w:sz w:val="20"/>
              </w:rPr>
              <w:t>Jethos mira a ridurre il rischio di perdita e liquidazione, ma non può garantire assenza assoluta di perdite, disponibilità immediata in ogni scenario o il miglior APY esistente in ogni momento.</w:t>
            </w:r>
          </w:p>
        </w:tc>
      </w:tr>
    </w:tbl>
    <w:p>
      <w:pPr>
        <w:spacing w:after="0"/>
      </w:pPr>
    </w:p>
    <w:p>
      <w:pPr>
        <w:pStyle w:val="ListBullet"/>
      </w:pPr>
      <w:r>
        <w:t>Gli smart contract possono contenere vulnerabilità.</w:t>
      </w:r>
    </w:p>
    <w:p>
      <w:pPr>
        <w:pStyle w:val="ListBullet"/>
      </w:pPr>
      <w:r>
        <w:t>Protocolli, oracle, asset wrapped e chain possono fallire.</w:t>
      </w:r>
    </w:p>
    <w:p>
      <w:pPr>
        <w:pStyle w:val="ListBullet"/>
      </w:pPr>
      <w:r>
        <w:t>La liquidità può diminuire e i prelievi possono richiedere tempo.</w:t>
      </w:r>
    </w:p>
    <w:p>
      <w:pPr>
        <w:pStyle w:val="ListBullet"/>
      </w:pPr>
      <w:r>
        <w:t>Le strategie delta-neutral possono perdere neutralità a causa di slippage, funding, depeg o eventi estremi.</w:t>
      </w:r>
    </w:p>
    <w:p>
      <w:pPr>
        <w:pStyle w:val="ListBullet"/>
      </w:pPr>
      <w:r>
        <w:t>La trasparenza e gli hard limit riducono la fiducia richiesta ma non eliminano ogni rischio.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5"/>
      </w:rPr>
      <w:t>Documento di lavoro — decisioni da validare tramite codice, test, audit e governance.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66666"/>
        <w:sz w:val="16"/>
      </w:rPr>
      <w:t>Jethos Protocol · Documentazione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B6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C6591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0F6B6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ethosCallout">
    <w:name w:val="Jethos Callout"/>
    <w:pPr>
      <w:spacing w:before="120" w:after="140"/>
      <w:ind w:left="317" w:right="317"/>
    </w:pPr>
    <w:rPr>
      <w:rFonts w:ascii="Aptos" w:hAnsi="Aptos"/>
      <w:color w:val="17365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