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Accounting, Shares &amp; ERC-4626</w:t>
      </w:r>
    </w:p>
    <w:p>
      <w:pPr>
        <w:pStyle w:val="Subtitle"/>
        <w:jc w:val="center"/>
      </w:pPr>
      <w:r>
        <w:t>NAV, share, donazioni, reward e standard asincroni futuri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Scelta dello standard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DECISO: i vault Jethos adottano ERC-4626 per share, depositi, mint, withdraw, redeem e funzioni di preview. Gli share token utilizzano 18 decimali.</w:t>
            </w:r>
          </w:p>
        </w:tc>
      </w:tr>
    </w:tbl>
    <w:p>
      <w:pPr>
        <w:spacing w:after="0"/>
      </w:pPr>
    </w:p>
    <w:p>
      <w:r>
        <w:t>ERC-4626 fornisce l’interfaccia comune necessaria a wallet, meta-vault, lending market e integrazioni. Il primo PoC sarà sincrono. I vault con liquidità non immediata potranno utilizzare in futuro ERC-7540; la cancellazione delle richieste potrà considerare ERC-7887.</w:t>
      </w:r>
    </w:p>
    <w:p>
      <w:pPr>
        <w:pStyle w:val="Heading1"/>
      </w:pPr>
      <w:r>
        <w:t>2. ERC-4626 nel modello Jethos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Concetto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Decisione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asset()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Base asset del vault, ad esempio USDC.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share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ERC-20 distinta per chain, base asset e profilo.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decimals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18 per tutte le share; conversione corretta per asset a 6/8/18 decimali.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totalAssets()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Valore netto nel base asset delle riserve e posizioni, meno debiti.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price per share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Espresso nel base asset; conversione USD solo come vista frontend/analytics.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rendimento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Matura nel prezzo per share.</w:t>
            </w:r>
          </w:p>
        </w:tc>
      </w:tr>
    </w:tbl>
    <w:p>
      <w:pPr>
        <w:spacing w:after="0"/>
      </w:pPr>
    </w:p>
    <w:p>
      <w:pPr>
        <w:pStyle w:val="Heading1"/>
      </w:pPr>
      <w:r>
        <w:t>3. Componenti di totalAssets</w:t>
      </w:r>
    </w:p>
    <w:p>
      <w:pPr>
        <w:pStyle w:val="ListBullet"/>
      </w:pPr>
      <w:r>
        <w:t>Base asset non investito nella riserva.</w:t>
      </w:r>
    </w:p>
    <w:p>
      <w:pPr>
        <w:pStyle w:val="ListBullet"/>
      </w:pPr>
      <w:r>
        <w:t>Valore riscattabile delle posizioni Aave, Morpho ed Euler.</w:t>
      </w:r>
    </w:p>
    <w:p>
      <w:pPr>
        <w:pStyle w:val="ListBullet"/>
      </w:pPr>
      <w:r>
        <w:t>Interessi maturati già incorporati nelle posizioni o calcolabili.</w:t>
      </w:r>
    </w:p>
    <w:p>
      <w:pPr>
        <w:pStyle w:val="ListBullet"/>
      </w:pPr>
      <w:r>
        <w:t>Valore netto di future strategie autorizzate.</w:t>
      </w:r>
    </w:p>
    <w:p>
      <w:pPr>
        <w:pStyle w:val="ListBullet"/>
      </w:pPr>
      <w:r>
        <w:t>Meno debiti e passività.</w:t>
      </w:r>
    </w:p>
    <w:p>
      <w:pPr>
        <w:pStyle w:val="ListBullet"/>
      </w:pPr>
      <w:r>
        <w:t>Reward incluse soltanto dopo claim e conversione nel PoC; accounting più sofisticato rinviato.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9C0006"/>
                <w:sz w:val="20"/>
              </w:rPr>
              <w:t>Se il NAV non è calcolabile in modo affidabile, l’operazione deve fallire: niente nuova emissione o distruzione di share con un valore incerto.</w:t>
            </w:r>
          </w:p>
        </w:tc>
      </w:tr>
    </w:tbl>
    <w:p>
      <w:pPr>
        <w:spacing w:after="0"/>
      </w:pPr>
    </w:p>
    <w:p>
      <w:pPr>
        <w:pStyle w:val="Heading1"/>
      </w:pPr>
      <w:r>
        <w:t>4. Reward</w:t>
      </w:r>
    </w:p>
    <w:p>
      <w:pPr>
        <w:pStyle w:val="ListNumber"/>
      </w:pPr>
      <w:r>
        <w:t>Il protocollo accumula reward dei protocolli sottostanti.</w:t>
      </w:r>
    </w:p>
    <w:p>
      <w:pPr>
        <w:pStyle w:val="ListNumber"/>
      </w:pPr>
      <w:r>
        <w:t>Quando il valore netto supera gas, slippage e soglia minima, esegue harvest.</w:t>
      </w:r>
    </w:p>
    <w:p>
      <w:pPr>
        <w:pStyle w:val="ListNumber"/>
      </w:pPr>
      <w:r>
        <w:t>Le reward vengono convertite nel base asset tramite route autorizzate.</w:t>
      </w:r>
    </w:p>
    <w:p>
      <w:pPr>
        <w:pStyle w:val="ListNumber"/>
      </w:pPr>
      <w:r>
        <w:t>Il base asset viene reinvestito o inserito nella riserva.</w:t>
      </w:r>
    </w:p>
    <w:p>
      <w:pPr>
        <w:pStyle w:val="ListNumber"/>
      </w:pPr>
      <w:r>
        <w:t>Il valore aggiunto aumenta il prezzo per share di tutti i detentori.</w:t>
      </w:r>
    </w:p>
    <w:p>
      <w:pPr>
        <w:pStyle w:val="Heading1"/>
      </w:pPr>
      <w:r>
        <w:t>5. Donazioni di base asset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DECISO: la contabilità è balance-based. Una donazione diretta di base asset aumenta totalAssets e quindi il valore economico di tutte le share.</w:t>
            </w:r>
          </w:p>
        </w:tc>
      </w:tr>
    </w:tbl>
    <w:p>
      <w:pPr>
        <w:spacing w:after="0"/>
      </w:pPr>
    </w:p>
    <w:p>
      <w:r>
        <w:t>Un ERC-20 può essere trasferito direttamente al vault senza passare da deposit(); il vault non può impedire in modo generale il trasferimento. Jethos non utilizzerà un importo contabile separato dal saldo reale, perché creerebbe complessità di riconciliazione e asset non contabilizzati.</w:t>
      </w:r>
    </w:p>
    <w:p>
      <w:pPr>
        <w:pStyle w:val="Heading1"/>
      </w:pPr>
      <w:r>
        <w:t>6. Donation / inflation attack</w:t>
      </w:r>
    </w:p>
    <w:p>
      <w:r>
        <w:t>Il rischio non è che una share debba essere intera: con 18 decimali può essere frazionaria. Il rischio è l’arrotondamento alle unità minime, soprattutto in vault vuoti o quasi vuoti, e l’uso di un prezzo per share manipolato in altri protocolli.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Protezione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 previsto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Virtual assets e virtual shares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Stabilizzano la formula quando supply e asset reali sono bassi.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Decimal offset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Per USDC, offset coerente con share a 18 decimali e asset a 6.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Deposito minimo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Evita operazioni economicamente insignificanti e arrotondamenti estremi.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Revert su zero share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Nessun deposito può produrre zero unità minime di share.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minSharesOut / router protetto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L’utente definisce il minimo accettabile rispetto alla preview.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Cap iniziale e bootstrap controllato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Riduce la superficie durante l’avvio del vault.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Test donation/inflation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Fuzz e invariant test su donazioni prima/dopo depositi e vault quasi vuoto.</w:t>
            </w:r>
          </w:p>
        </w:tc>
      </w:tr>
    </w:tbl>
    <w:p>
      <w:pPr>
        <w:spacing w:after="0"/>
      </w:pPr>
    </w:p>
    <w:p>
      <w:pPr>
        <w:pStyle w:val="Heading1"/>
      </w:pPr>
      <w:r>
        <w:t>7. Primo deposito e vault vuoto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C65911"/>
                <w:sz w:val="20"/>
              </w:rPr>
              <w:t>PROVVISORIO: adottare una implementazione ERC-4626 auditata con virtual accounting; non è richiesto bloccare share reali permanentemente. Definire deposito minimo e comportamento dopo il rimborso dell’ultima share nella specifica di codice.</w:t>
            </w:r>
          </w:p>
        </w:tc>
      </w:tr>
    </w:tbl>
    <w:p>
      <w:pPr>
        <w:spacing w:after="0"/>
      </w:pPr>
    </w:p>
    <w:p>
      <w:pPr>
        <w:pStyle w:val="Heading1"/>
      </w:pPr>
      <w:r>
        <w:t>8. Arrotondamenti</w:t>
      </w:r>
    </w:p>
    <w:p>
      <w:pPr>
        <w:pStyle w:val="ListBullet"/>
      </w:pPr>
      <w:r>
        <w:t>Depositi e mint devono arrotondare secondo lo standard senza trasferire valore ingiusto.</w:t>
      </w:r>
    </w:p>
    <w:p>
      <w:pPr>
        <w:pStyle w:val="ListBullet"/>
      </w:pPr>
      <w:r>
        <w:t>Withdraw e redeem devono impedire che l’utente riceva più del proprio diritto economico.</w:t>
      </w:r>
    </w:p>
    <w:p>
      <w:pPr>
        <w:pStyle w:val="ListBullet"/>
      </w:pPr>
      <w:r>
        <w:t>Le funzioni preview devono essere coerenti con l’esecuzione nello stesso stato.</w:t>
      </w:r>
    </w:p>
    <w:p>
      <w:pPr>
        <w:pStyle w:val="ListBullet"/>
      </w:pPr>
      <w:r>
        <w:t>Test obbligatori per USDC 6 decimali, WBTC 8 e WETH 18.</w:t>
      </w:r>
    </w:p>
    <w:p>
      <w:pPr>
        <w:pStyle w:val="ListBullet"/>
      </w:pPr>
      <w:r>
        <w:t>Test su depositi minimi, prelievi parziali e cicli ripetuti.</w:t>
      </w:r>
    </w:p>
    <w:p>
      <w:pPr>
        <w:pStyle w:val="Heading1"/>
      </w:pPr>
      <w:r>
        <w:t>9. ERC-7540 futuro</w:t>
      </w:r>
    </w:p>
    <w:p>
      <w:r>
        <w:t>ERC-7540 estende ERC-4626 con richieste asincrone. È utile quando una strategia richiede tempo per recuperare liquidità. Il modello futuro Jethos prevede epoche: le richieste vengono raggruppate, il vault recupera liquidità, ogni partecipante riceve la stessa percentuale della propria richiesta e l’eventuale residuo passa all’epoca successiva.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Significato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Pending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Share impegnate e richiesta in attesa di liquidità.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Claimable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Una quantità di asset è disponibile per il claim.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Claimed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L’utente ha ricevuto l’importo disponibile.</w:t>
            </w:r>
          </w:p>
        </w:tc>
      </w:tr>
    </w:tbl>
    <w:p>
      <w:pPr>
        <w:spacing w:after="0"/>
      </w:pPr>
    </w:p>
    <w:p>
      <w:pPr>
        <w:pStyle w:val="Heading1"/>
      </w:pPr>
      <w:r>
        <w:t>10. ERC-7887 futuro</w:t>
      </w:r>
    </w:p>
    <w:p>
      <w:r>
        <w:t>La cancellazione non è parte necessaria del PoC. In una futura queue sarà valutata una estensione compatibile con ERC-7887 o logica equivalente: cancellabile finché pending, non cancellabile quando il disinvestimento è irreversibile, con restituzione delle share o gestione esplicita del residuo.</w:t>
      </w:r>
    </w:p>
    <w:p>
      <w:pPr>
        <w:pStyle w:val="Heading1"/>
      </w:pPr>
      <w:r>
        <w:t>11. Governance delle share</w:t>
      </w:r>
    </w:p>
    <w:p>
      <w:r>
        <w:t>Il saldo corrente non può essere usato direttamente come potere di voto perché le share sono trasferibili, prestabili e collateralizzabili. Il futuro sistema dovrà usare snapshot, saldo medio temporale, delega o vote escrow ed evitare doppio conteggio e flash-loan voting.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