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0F6B6D"/>
          <w:sz w:val="32"/>
        </w:rPr>
        <w:t>JETHOS PROTOCOL</w:t>
      </w:r>
    </w:p>
    <w:p>
      <w:pPr>
        <w:pStyle w:val="Title"/>
        <w:jc w:val="center"/>
      </w:pPr>
      <w:r>
        <w:t>Strategy &amp; Automation Framework</w:t>
      </w:r>
    </w:p>
    <w:p>
      <w:pPr>
        <w:pStyle w:val="Subtitle"/>
        <w:jc w:val="center"/>
      </w:pPr>
      <w:r>
        <w:t>Strategy Engine, keeper, monitoraggio e ribilanciamenti</w:t>
      </w:r>
    </w:p>
    <w:p>
      <w:pPr>
        <w:spacing w:before="500"/>
        <w:jc w:val="center"/>
      </w:pPr>
      <w:r>
        <w:rPr>
          <w:rFonts w:ascii="Aptos" w:hAnsi="Aptos"/>
          <w:color w:val="666666"/>
          <w:sz w:val="21"/>
        </w:rPr>
        <w:t>Versione 0.1 · 22 luglio 2026</w:t>
      </w:r>
    </w:p>
    <w:p>
      <w:pPr>
        <w:jc w:val="center"/>
      </w:pPr>
      <w:r>
        <w:rPr>
          <w:rFonts w:ascii="Aptos" w:hAnsi="Aptos"/>
          <w:b/>
          <w:color w:val="C65911"/>
          <w:sz w:val="20"/>
        </w:rPr>
        <w:t>Stato: bozza di lavoro consolidata</w:t>
      </w:r>
    </w:p>
    <w:p>
      <w:r>
        <w:br w:type="page"/>
      </w:r>
    </w:p>
    <w:p>
      <w:pPr>
        <w:pStyle w:val="Heading1"/>
      </w:pPr>
      <w:r>
        <w:t>Base documentale e stato delle informazioni</w:t>
      </w:r>
    </w:p>
    <w:p>
      <w:r>
        <w:rPr>
          <w:b/>
        </w:rPr>
        <w:t xml:space="preserve">Fonti iniziali fornite: </w:t>
      </w:r>
      <w:r>
        <w:t>Plan_baseasssetabstraction.md; explenation_file.md; plan_baseasset_phases.md.</w:t>
      </w:r>
    </w:p>
    <w:p>
      <w:r>
        <w:rPr>
          <w:b/>
        </w:rPr>
        <w:t xml:space="preserve">Decisioni consolidate: </w:t>
      </w:r>
      <w:r>
        <w:t>risposte e chiarimenti forniti nella conversazione fino al 22 luglio 2026.</w:t>
      </w:r>
    </w:p>
    <w:p>
      <w:r>
        <w:rPr>
          <w:b/>
        </w:rPr>
        <w:t xml:space="preserve">Regola di prevalenza: </w:t>
      </w:r>
      <w:r>
        <w:t>quando un documento iniziale descrive una fase come futura ma la conversazione conferma che è stata implementata, il documento riporta entrambe le informazioni e considera la decisione più recente come stato corrente dichiarato.</w:t>
      </w:r>
    </w:p>
    <w:p>
      <w:pPr>
        <w:pStyle w:val="Heading1"/>
      </w:pPr>
      <w:r>
        <w:t>1. Principio di allocazione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L’automazione sceglie l’allocazione con il miglior rendimento netto corretto per rischio tra strategie, mercati e protocolli già autorizzati.</w:t>
            </w:r>
          </w:p>
        </w:tc>
      </w:tr>
    </w:tbl>
    <w:p>
      <w:pPr>
        <w:spacing w:after="0"/>
      </w:pPr>
    </w:p>
    <w:p>
      <w:pPr>
        <w:pStyle w:val="Heading1"/>
      </w:pPr>
      <w:r>
        <w:t>2. Funzione di convenienza</w:t>
      </w:r>
    </w:p>
    <w:p>
      <w:r>
        <w:t>La decisione non usa una soglia fissa di APY. Il beneficio deve considerare capitale, durata, costi e rischio: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 w:val="0"/>
                <w:color w:val="17365D"/>
                <w:sz w:val="20"/>
              </w:rPr>
              <w:t>Beneficio netto atteso = Capitale × miglioramento del rendimento × durata attesa − gas − slippage − fee di entrata/uscita − costi cross-chain − penalizzazione di rischio.</w:t>
            </w:r>
          </w:p>
        </w:tc>
      </w:tr>
    </w:tbl>
    <w:p>
      <w:pPr>
        <w:spacing w:after="0"/>
      </w:pPr>
    </w:p>
    <w:p>
      <w:pPr>
        <w:pStyle w:val="ListBullet"/>
      </w:pPr>
      <w:r>
        <w:t>Stabilità e oscillazione storica del rendimento.</w:t>
      </w:r>
    </w:p>
    <w:p>
      <w:pPr>
        <w:pStyle w:val="ListBullet"/>
      </w:pPr>
      <w:r>
        <w:t>Probabilità che gli incentivi diminuiscano.</w:t>
      </w:r>
    </w:p>
    <w:p>
      <w:pPr>
        <w:pStyle w:val="ListBullet"/>
      </w:pPr>
      <w:r>
        <w:t>Capacità del mercato di ricevere il capitale.</w:t>
      </w:r>
    </w:p>
    <w:p>
      <w:pPr>
        <w:pStyle w:val="ListBullet"/>
      </w:pPr>
      <w:r>
        <w:t>Impatto del deposito sul nuovo APY.</w:t>
      </w:r>
    </w:p>
    <w:p>
      <w:pPr>
        <w:pStyle w:val="ListBullet"/>
      </w:pPr>
      <w:r>
        <w:t>Costo e tempo di una futura uscita.</w:t>
      </w:r>
    </w:p>
    <w:p>
      <w:pPr>
        <w:pStyle w:val="Heading1"/>
      </w:pPr>
      <w:r>
        <w:t>3. Strategy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Elaborazione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Mercati e protocolli autorizzati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Filtro di eligibility e profilo di rischio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Set di strategie possibili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Stato del mercato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Simulazione post-allocazione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APY netto e utilization futuri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Posizioni del vault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Rischio, liquidità, cap e correlazione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Allocazione target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Costi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Gas, swap, fee, slippage e unwind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Beneficio netto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Segnali di emergenza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Confronto tra perdita immediata e perdita attesa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Deleverage/unwind/pause</w:t>
            </w:r>
          </w:p>
        </w:tc>
      </w:tr>
    </w:tbl>
    <w:p>
      <w:pPr>
        <w:spacing w:after="0"/>
      </w:pPr>
    </w:p>
    <w:p>
      <w:pPr>
        <w:pStyle w:val="Heading1"/>
      </w:pPr>
      <w:r>
        <w:t>4. Simulazione APY post-allocazione</w:t>
      </w:r>
    </w:p>
    <w:p>
      <w:pPr>
        <w:pStyle w:val="ListNumber"/>
      </w:pPr>
      <w:r>
        <w:t>Leggere lo stato corrente del mercato.</w:t>
      </w:r>
    </w:p>
    <w:p>
      <w:pPr>
        <w:pStyle w:val="ListNumber"/>
      </w:pPr>
      <w:r>
        <w:t>Applicare il capitale che Jethos vorrebbe aggiungere o rimuovere.</w:t>
      </w:r>
    </w:p>
    <w:p>
      <w:pPr>
        <w:pStyle w:val="ListNumber"/>
      </w:pPr>
      <w:r>
        <w:t>Calcolare nuova utilization e curva dei tassi.</w:t>
      </w:r>
    </w:p>
    <w:p>
      <w:pPr>
        <w:pStyle w:val="ListNumber"/>
      </w:pPr>
      <w:r>
        <w:t>Calcolare reward marginali e diluizione.</w:t>
      </w:r>
    </w:p>
    <w:p>
      <w:pPr>
        <w:pStyle w:val="ListNumber"/>
      </w:pPr>
      <w:r>
        <w:t>Stimare il rendimento netto del vault, non soltanto della posizione.</w:t>
      </w:r>
    </w:p>
    <w:p>
      <w:pPr>
        <w:pStyle w:val="ListNumber"/>
      </w:pPr>
      <w:r>
        <w:t>Stimare il percorso e costo di uscita.</w:t>
      </w:r>
    </w:p>
    <w:p>
      <w:pPr>
        <w:pStyle w:val="Heading1"/>
      </w:pPr>
      <w:r>
        <w:t>5. Operazioni richiedibili dal backend</w:t>
      </w:r>
    </w:p>
    <w:p>
      <w:pPr>
        <w:pStyle w:val="ListBullet"/>
      </w:pPr>
      <w:r>
        <w:t>Deposit/withdraw da protocolli autorizzati.</w:t>
      </w:r>
    </w:p>
    <w:p>
      <w:pPr>
        <w:pStyle w:val="ListBullet"/>
      </w:pPr>
      <w:r>
        <w:t>Borrow/repay entro limiti.</w:t>
      </w:r>
    </w:p>
    <w:p>
      <w:pPr>
        <w:pStyle w:val="ListBullet"/>
      </w:pPr>
      <w:r>
        <w:t>Swap tra token autorizzati e base asset.</w:t>
      </w:r>
    </w:p>
    <w:p>
      <w:pPr>
        <w:pStyle w:val="ListBullet"/>
      </w:pPr>
      <w:r>
        <w:t>Claim e harvest di reward.</w:t>
      </w:r>
    </w:p>
    <w:p>
      <w:pPr>
        <w:pStyle w:val="ListBullet"/>
      </w:pPr>
      <w:r>
        <w:t>Apertura e chiusura di strategie censite.</w:t>
      </w:r>
    </w:p>
    <w:p>
      <w:pPr>
        <w:pStyle w:val="ListBullet"/>
      </w:pPr>
      <w:r>
        <w:t>Spostamento di capitale tra strategie.</w:t>
      </w:r>
    </w:p>
    <w:p>
      <w:pPr>
        <w:pStyle w:val="ListBullet"/>
      </w:pPr>
      <w:r>
        <w:t>Aumento della riserva o deleverage.</w:t>
      </w:r>
    </w:p>
    <w:p>
      <w:pPr>
        <w:pStyle w:val="ListBullet"/>
      </w:pPr>
      <w:r>
        <w:t>Sospensione di una strategia e avvio dell’unwind.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CC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9C0006"/>
                <w:sz w:val="20"/>
              </w:rPr>
              <w:t>Il backend non può inviare calldata arbitraria verso indirizzi arbitrari. Ogni operazione deve appartenere a un tipo riconosciuto e superare i controlli on-chain.</w:t>
            </w:r>
          </w:p>
        </w:tc>
      </w:tr>
    </w:tbl>
    <w:p>
      <w:pPr>
        <w:spacing w:after="0"/>
      </w:pPr>
    </w:p>
    <w:p>
      <w:pPr>
        <w:pStyle w:val="Heading1"/>
      </w:pPr>
      <w:r>
        <w:t>6. Monitoraggio</w:t>
      </w:r>
    </w:p>
    <w:p>
      <w:r>
        <w:t>La frequenza è una funzione di TVL, leva, health factor, volatilità, liquidità, costo, profilo e complessità. Un vault piccolo ma vicino alla liquidazione può richiedere più frequenza di un vault grande supply-only.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Meccanismo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Polling periodico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Controlli completi anche in assenza di eventi.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Event-driven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Reazione a depositi, prelievi, borrow, repay, oracle update e incidenti.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Allarmi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HF, depeg, liquidity drop, cap, transazioni fallite, keeper offline.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Reconciliation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Confronto tra accounting on-chain e stato ricostruito dal backend.</w:t>
            </w:r>
          </w:p>
        </w:tc>
      </w:tr>
    </w:tbl>
    <w:p>
      <w:pPr>
        <w:spacing w:after="0"/>
      </w:pPr>
    </w:p>
    <w:p>
      <w:pPr>
        <w:pStyle w:val="Heading1"/>
      </w:pPr>
      <w:r>
        <w:t>7. Keeper e ridondanza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Decisione iniziale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Istanze automatiche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Almeno due, indipendenti.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Provider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Cloud differenti.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Chiavi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Separate e limitate per ruolo/operazione.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Fallback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Multisig manuale del team.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Guardian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Ruolo di emergenza separato da definire.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Doppia esecuzione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Nonce, operation ID o controllo dello stato.</w:t>
            </w:r>
          </w:p>
        </w:tc>
      </w:tr>
    </w:tbl>
    <w:p>
      <w:pPr>
        <w:spacing w:after="0"/>
      </w:pPr>
    </w:p>
    <w:p>
      <w:pPr>
        <w:pStyle w:val="Heading1"/>
      </w:pPr>
      <w:r>
        <w:t>8. Batch vs operazioni progressive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Modalità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Quando usarla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Batch atomico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Capitale limitato, operazioni sincrone, bisogno di evitare stati intermedi.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Progressivo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Capitale elevato, slippage, liquidity impact, strategie asincrone o rischio di fallimento parziale.</w:t>
            </w:r>
          </w:p>
        </w:tc>
      </w:tr>
    </w:tbl>
    <w:p>
      <w:pPr>
        <w:spacing w:after="0"/>
      </w:pPr>
    </w:p>
    <w:p>
      <w:r>
        <w:t>Il backend decide dinamicamente la modalità sulla base dei costi e della sicurezza.</w:t>
      </w:r>
    </w:p>
    <w:p>
      <w:pPr>
        <w:pStyle w:val="Heading1"/>
      </w:pPr>
      <w:r>
        <w:t>9. Harvest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Harvest quando: valore netto delle reward &gt; gas + slippage + soglia minima di convenienza. Le reward vengono convertite nel base asset e reinvestite.</w:t>
            </w:r>
          </w:p>
        </w:tc>
      </w:tr>
    </w:tbl>
    <w:p>
      <w:pPr>
        <w:spacing w:after="0"/>
      </w:pPr>
    </w:p>
    <w:p>
      <w:pPr>
        <w:pStyle w:val="Heading1"/>
      </w:pPr>
      <w:r>
        <w:t>10. Decision log</w:t>
      </w:r>
    </w:p>
    <w:p>
      <w:pPr>
        <w:pStyle w:val="ListBullet"/>
      </w:pPr>
      <w:r>
        <w:t>Timestamp, chain, vault e versione della strategia.</w:t>
      </w:r>
    </w:p>
    <w:p>
      <w:pPr>
        <w:pStyle w:val="ListBullet"/>
      </w:pPr>
      <w:r>
        <w:t>Stato iniziale e metriche considerate.</w:t>
      </w:r>
    </w:p>
    <w:p>
      <w:pPr>
        <w:pStyle w:val="ListBullet"/>
      </w:pPr>
      <w:r>
        <w:t>Alternative valutate.</w:t>
      </w:r>
    </w:p>
    <w:p>
      <w:pPr>
        <w:pStyle w:val="ListBullet"/>
      </w:pPr>
      <w:r>
        <w:t>Allocazione scelta e beneficio atteso.</w:t>
      </w:r>
    </w:p>
    <w:p>
      <w:pPr>
        <w:pStyle w:val="ListBullet"/>
      </w:pPr>
      <w:r>
        <w:t>Risk score e limiti verificati.</w:t>
      </w:r>
    </w:p>
    <w:p>
      <w:pPr>
        <w:pStyle w:val="ListBullet"/>
      </w:pPr>
      <w:r>
        <w:t>Operation ID e transazioni on-chain.</w:t>
      </w:r>
    </w:p>
    <w:p>
      <w:pPr>
        <w:pStyle w:val="ListBullet"/>
      </w:pPr>
      <w:r>
        <w:t>Risultato reale e scostamento dalla previsione.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Documento di lavoro — decisioni da validare tramite codice, test, audit e governance.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Jethos Protocol · Documentazione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F6B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hosCallout">
    <w:name w:val="Jethos Callout"/>
    <w:pPr>
      <w:spacing w:before="120" w:after="140"/>
      <w:ind w:left="317" w:right="317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