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Governance, Security &amp; Administration</w:t>
      </w:r>
    </w:p>
    <w:p>
      <w:pPr>
        <w:pStyle w:val="Subtitle"/>
        <w:jc w:val="center"/>
      </w:pPr>
      <w:r>
        <w:t>Community approval, multisig, upgrade ed emergenze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pPr>
        <w:pStyle w:val="Heading1"/>
      </w:pPr>
      <w:r>
        <w:t>1. Modello iniziale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Jethos è inizialmente un ecosistema curato. Il team ricerca, sviluppa, simula e propone strategie; la comunità potrà approvarle. Il protocollo non è inizialmente community-driven né permissionless nella creazione di plugin e strategie.</w:t>
            </w:r>
          </w:p>
        </w:tc>
      </w:tr>
    </w:tbl>
    <w:p>
      <w:pPr>
        <w:spacing w:after="0"/>
      </w:pPr>
    </w:p>
    <w:p>
      <w:pPr>
        <w:pStyle w:val="Heading1"/>
      </w:pPr>
      <w:r>
        <w:t>2. Permissionlessness per livello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Livello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Iniziale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Accesso ai vault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Aperto, salvo eventuali vincoli legali o di deployment futuri.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Integrazione delle share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Aperta: share ERC-20/4626 componibili.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Esecuzione di ribilanciamenti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Soltanto keeper e team autorizzati.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Creazione di vault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Curata dal team.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Aggiunta di plugin/protocolli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Curata e approvata; mai arbitraria.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Governance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Community approval progressiva, regole ancora da formalizzare.</w:t>
            </w:r>
          </w:p>
        </w:tc>
      </w:tr>
    </w:tbl>
    <w:p>
      <w:pPr>
        <w:spacing w:after="0"/>
      </w:pPr>
    </w:p>
    <w:p>
      <w:pPr>
        <w:pStyle w:val="Heading1"/>
      </w:pPr>
      <w:r>
        <w:t>3. Voto e share trasferibili</w:t>
      </w:r>
    </w:p>
    <w:p>
      <w:r>
        <w:t>Il potere di voto non deve dipendere dal saldo istantaneo, perché le share possono essere trasferite, prestate o usate come collaterale. La direzione preferita è una media temporale della partecipazione, con snapshot e possibile delega.</w:t>
      </w:r>
    </w:p>
    <w:p>
      <w:pPr>
        <w:pStyle w:val="ListBullet"/>
      </w:pPr>
      <w:r>
        <w:t>No flash-loan voting.</w:t>
      </w:r>
    </w:p>
    <w:p>
      <w:pPr>
        <w:pStyle w:val="ListBullet"/>
      </w:pPr>
      <w:r>
        <w:t>No doppio voto dopo trasferimento.</w:t>
      </w:r>
    </w:p>
    <w:p>
      <w:pPr>
        <w:pStyle w:val="ListBullet"/>
      </w:pPr>
      <w:r>
        <w:t>No doppio conteggio delle share custodite da protocolli.</w:t>
      </w:r>
    </w:p>
    <w:p>
      <w:pPr>
        <w:pStyle w:val="ListBullet"/>
      </w:pPr>
      <w:r>
        <w:t>Possibile maturazione del voting power nel tempo.</w:t>
      </w:r>
    </w:p>
    <w:p>
      <w:pPr>
        <w:pStyle w:val="ListBullet"/>
      </w:pPr>
      <w:r>
        <w:t>Regole fondamentali del profilo non modificabili tramite semplice maggioranza operativa.</w:t>
      </w:r>
    </w:p>
    <w:p>
      <w:pPr>
        <w:pStyle w:val="Heading1"/>
      </w:pPr>
      <w:r>
        <w:t>4. Upgrade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PoC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Upgrade immediato per iterazione privata.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Successiva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Timelock da definire; comunicazione e test obbligatori.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Cambiamenti strutturali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Preferenza forte per nuovo vault e migrazione esplicita.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Limiti di rischio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Tecnicamente modificabili nel PoC; nel prodotto maturo modificabili soltanto entro intervalli o tramite migrazione.</w:t>
            </w:r>
          </w:p>
        </w:tc>
      </w:tr>
    </w:tbl>
    <w:p>
      <w:pPr>
        <w:spacing w:after="0"/>
      </w:pPr>
    </w:p>
    <w:p>
      <w:pPr>
        <w:pStyle w:val="Heading1"/>
      </w:pPr>
      <w:r>
        <w:t>5. Struttura delle chiavi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Proposta iniziale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Multisig admin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2-of-3 con dispositivi separati; nel PoC controllato dal fondatore/team.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Keeper 1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Chiave limitata su provider 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Keeper 2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Chiave limitata su provider B.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Guardian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Chiave/ruolo di emergenza; scope da definire.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Recovery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Chiave offline e procedure documentate.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C65911"/>
                <w:sz w:val="20"/>
              </w:rPr>
              <w:t>Un multisig controllato da una sola persona migliora la resilienza delle chiavi ma non crea governance multiparte. Questa limitazione deve essere dichiarata.</w:t>
            </w:r>
          </w:p>
        </w:tc>
      </w:tr>
    </w:tbl>
    <w:p>
      <w:pPr>
        <w:spacing w:after="0"/>
      </w:pPr>
    </w:p>
    <w:p>
      <w:pPr>
        <w:pStyle w:val="Heading1"/>
      </w:pPr>
      <w:r>
        <w:t>6. Pause granulari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Modalità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Effetto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Pause deposits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Blocca nuovi depositi; prelievi possibilmente attivi.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Withdraw-only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Nessun nuovo investimento o debito; consentite operazioni di uscita.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Pause borrowing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Nessun aumento del debito; repay consentito.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Pause swaps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Blocca swap ordinari; eccezioni di emergency unwind da autorizzare.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Disable plugin/market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Nessuna nuova allocazione; withdraw/repay/close restano disponibili.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Oracle quarantine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Blocca operazioni dipendenti dal prezzo anomalo.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Keeper rotation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Revoca immediata di una chiave compromessa.</w:t>
            </w:r>
          </w:p>
        </w:tc>
      </w:tr>
    </w:tbl>
    <w:p>
      <w:pPr>
        <w:spacing w:after="0"/>
      </w:pPr>
    </w:p>
    <w:p>
      <w:pPr>
        <w:pStyle w:val="Heading1"/>
      </w:pPr>
      <w:r>
        <w:t>7. Emergency actions</w:t>
      </w:r>
    </w:p>
    <w:p>
      <w:pPr>
        <w:pStyle w:val="ListBullet"/>
      </w:pPr>
      <w:r>
        <w:t>Revoke allowance verso router o protocollo.</w:t>
      </w:r>
    </w:p>
    <w:p>
      <w:pPr>
        <w:pStyle w:val="ListBullet"/>
      </w:pPr>
      <w:r>
        <w:t>Emergency deleverage e repay.</w:t>
      </w:r>
    </w:p>
    <w:p>
      <w:pPr>
        <w:pStyle w:val="ListBullet"/>
      </w:pPr>
      <w:r>
        <w:t>Emergency unwind entro loss budget.</w:t>
      </w:r>
    </w:p>
    <w:p>
      <w:pPr>
        <w:pStyle w:val="ListBullet"/>
      </w:pPr>
      <w:r>
        <w:t>Ritiro di liquidità dai protocolli.</w:t>
      </w:r>
    </w:p>
    <w:p>
      <w:pPr>
        <w:pStyle w:val="ListBullet"/>
      </w:pPr>
      <w:r>
        <w:t>Claim necessario alla chiusura.</w:t>
      </w:r>
    </w:p>
    <w:p>
      <w:pPr>
        <w:pStyle w:val="ListBullet"/>
      </w:pPr>
      <w:r>
        <w:t>Rescue di token estranei senza poter sottrarre base asset o asset contabilizzati.</w:t>
      </w:r>
    </w:p>
    <w:p>
      <w:pPr>
        <w:pStyle w:val="ListBullet"/>
      </w:pPr>
      <w:r>
        <w:t>Futura uscita in natura.</w:t>
      </w:r>
    </w:p>
    <w:p>
      <w:pPr>
        <w:pStyle w:val="Heading1"/>
      </w:pPr>
      <w:r>
        <w:t>8. Testing e 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Livello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Requisiti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PoC privato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Unit, fork, integration, fuzz di accounting, test di pause e upgrade.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Alpha limitata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Invariant test, simulazioni keeper, cap ridotti, monitoraggio 24/7.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Pubblico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Audit indipendente, bug bounty, documentazione delle assunzioni e incident response.</w:t>
            </w:r>
          </w:p>
        </w:tc>
      </w:tr>
    </w:tbl>
    <w:p>
      <w:pPr>
        <w:spacing w:after="0"/>
      </w:pPr>
    </w:p>
    <w:p>
      <w:pPr>
        <w:pStyle w:val="Heading1"/>
      </w:pPr>
      <w:r>
        <w:t>9. Invarianti di sicurezza</w:t>
      </w:r>
    </w:p>
    <w:p>
      <w:pPr>
        <w:pStyle w:val="ListNumber"/>
      </w:pPr>
      <w:r>
        <w:t>Nessuna share senza asset economico corrispondente secondo la formula.</w:t>
      </w:r>
    </w:p>
    <w:p>
      <w:pPr>
        <w:pStyle w:val="ListNumber"/>
      </w:pPr>
      <w:r>
        <w:t>Nessun asset contabilizzato trasferibile a destinatari arbitrari dall’admin.</w:t>
      </w:r>
    </w:p>
    <w:p>
      <w:pPr>
        <w:pStyle w:val="ListNumber"/>
      </w:pPr>
      <w:r>
        <w:t>Il debito è sempre sottratto dal NAV.</w:t>
      </w:r>
    </w:p>
    <w:p>
      <w:pPr>
        <w:pStyle w:val="ListNumber"/>
      </w:pPr>
      <w:r>
        <w:t>Il vault non può investire in sé stesso direttamente o indirettamente.</w:t>
      </w:r>
    </w:p>
    <w:p>
      <w:pPr>
        <w:pStyle w:val="ListNumber"/>
      </w:pPr>
      <w:r>
        <w:t>Le pause devono preservare almeno repay e uscita quando tecnicamente possibile.</w:t>
      </w:r>
    </w:p>
    <w:p>
      <w:pPr>
        <w:pStyle w:val="ListNumber"/>
      </w:pPr>
      <w:r>
        <w:t>Una operazione non può essere eseguita due volte.</w:t>
      </w:r>
    </w:p>
    <w:p>
      <w:pPr>
        <w:pStyle w:val="ListNumber"/>
      </w:pPr>
      <w:r>
        <w:t>Un upgrade strutturale maturo non deve cambiare silenziosamente il prodotto acquistato dall’utente.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