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PoC &amp; Implementation Roadmap</w:t>
      </w:r>
    </w:p>
    <w:p>
      <w:pPr>
        <w:pStyle w:val="Subtitle"/>
        <w:jc w:val="center"/>
      </w:pPr>
      <w:r>
        <w:t>Primo vault USDC Conservativo e fasi successive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Obiettivo del PoC</w:t>
      </w:r>
    </w:p>
    <w:p>
      <w:r>
        <w:t>Dimostrare che il core multi-base-asset, i tre plugin esistenti, l’accounting ERC-4626, la riserva dinamica e lo Strategy Engine possono gestire un vault USDC in modo verificabile e recuperare integralmente il capitale in condizioni normali.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PoC 1A: USDC Conservativo, Arbitrum, supply-only, Aave V3 + Morpho Blue + Euler V2, circa 100 USDC personali, test privato.</w:t>
            </w:r>
          </w:p>
        </w:tc>
      </w:tr>
    </w:tbl>
    <w:p>
      <w:pPr>
        <w:spacing w:after="0"/>
      </w:pPr>
    </w:p>
    <w:p>
      <w:pPr>
        <w:pStyle w:val="Heading1"/>
      </w:pPr>
      <w:r>
        <w:t>2. Parametri iniziali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Base asset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USDC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Profilo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Conservativo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Chain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Arbitrum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Cap iniziale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100 USDC effettivi; cap di contratto poco superiore per test controllati.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Riserva min/target/max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35% / 45% / 55%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Strategie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Supply-only nei mercati approvati.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Borrowing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Escluso dal PoC 1A.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ERC-4626, 18 decimali.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Prelievi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Sincroni.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Oracle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Chainlink; staleness da verificare nei contratti.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APY obiettivo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Almeno 2–3% annuo netto sul NAV, se disponibile senza violare il profilo.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Fee di deposito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0,10% nel PoC, salvo riconsiderazione per test contabili.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Altre fee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Zero nel PoC.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Upgrade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Immediato nel PoC privato.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Periodo iniziale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Almeno una settimana di prove intensive; stabilità più lunga prima di capitale pubblico.</w:t>
            </w:r>
          </w:p>
        </w:tc>
      </w:tr>
    </w:tbl>
    <w:p>
      <w:pPr>
        <w:spacing w:after="0"/>
      </w:pPr>
    </w:p>
    <w:p>
      <w:pPr>
        <w:pStyle w:val="Heading1"/>
      </w:pPr>
      <w:r>
        <w:t>3. Conseguenza della riserva sull’APY</w:t>
      </w:r>
    </w:p>
    <w:p>
      <w:r>
        <w:t>Con riserva target del 45%, soltanto il 55% del NAV viene investito. Per ottenere il 2–3% netto sul NAV, la parte investita deve produrre un rendimento superiore, prima di gas e fee. Il PoC deve mostrare separatamente APY delle strategie, APY lordo del vault e APY netto sul NAV.</w:t>
      </w:r>
    </w:p>
    <w:p>
      <w:pPr>
        <w:pStyle w:val="Heading1"/>
      </w:pPr>
      <w:r>
        <w:t>4. Fasi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Criterio di uscita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1A — Lending Optimizer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Supply-only, tre protocolli, riserva, ERC-4626, harvest semplice.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Accounting e prelievi invarianti; zero perdita non spiegata.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1B — Borrowing Strategy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Una strategia, un asset borrowed, HF e unwind completi.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Monitoraggio e deleverage testati in scenari estremi.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1C — ETH/BTC/LST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Swap, LST, esposizioni coperte, strategie concatenate.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Delta e rischio misurabili; unwind e pricing robusti.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2 — Multi-vault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Famiglie e profili aggiuntivi su Arbitrum.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Cap e risk score formalizzati.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3 — Multi-chain indipendente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Replica su altre EVM senza bridge.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Config e test per chain.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4 — Composability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Vault superiori e, successivamente, cross-chain share.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DAG, queue e bridge risk auditati.</w:t>
            </w:r>
          </w:p>
        </w:tc>
      </w:tr>
    </w:tbl>
    <w:p>
      <w:pPr>
        <w:spacing w:after="0"/>
      </w:pPr>
    </w:p>
    <w:p>
      <w:pPr>
        <w:pStyle w:val="Heading1"/>
      </w:pPr>
      <w:r>
        <w:t>5. Test minimi PoC 1A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ERC-4626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deposit/mint/withdraw/redeem, preview, arrotondamenti, zero share.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Donazioni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Prima e dopo depositi, vault quasi vuoto, attacco di inflation.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Decimali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USDC 6 → share 18, importi minimi e massimi.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Accounting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totalAssets = riserva + posizioni − debiti; nel 1A debiti zero.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Plugin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Supply/withdraw Aave, Morpho, Euler e fallimenti.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Ribilanciamento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Spostamento, batch/progressivo, APY post-allocazione.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Riserva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Sotto minimo, dentro banda, sopra massimo.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Pause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Depositi, plugin, withdraw-only, keeper rotation.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Upgrade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Persistenza di stato e rollback procedure.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Oracle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6"/>
              </w:rPr>
              <w:t>Stale/invalid → operazioni falliscono.</w:t>
            </w:r>
          </w:p>
        </w:tc>
      </w:tr>
    </w:tbl>
    <w:p>
      <w:pPr>
        <w:spacing w:after="0"/>
      </w:pPr>
    </w:p>
    <w:p>
      <w:pPr>
        <w:pStyle w:val="Heading1"/>
      </w:pPr>
      <w:r>
        <w:t>6. Criteri di accettazione</w:t>
      </w:r>
    </w:p>
    <w:p>
      <w:pPr>
        <w:pStyle w:val="ListNumber"/>
      </w:pPr>
      <w:r>
        <w:t>Tutti i depositi ricevono share coerenti e nessuna operazione produce zero share.</w:t>
      </w:r>
    </w:p>
    <w:p>
      <w:pPr>
        <w:pStyle w:val="ListNumber"/>
      </w:pPr>
      <w:r>
        <w:t>Il prezzo per share non diminuisce senza una causa economica tracciabile.</w:t>
      </w:r>
    </w:p>
    <w:p>
      <w:pPr>
        <w:pStyle w:val="ListNumber"/>
      </w:pPr>
      <w:r>
        <w:t>Ogni prelievo sincrono restituisce l’importo previsto o fallisce atomicamente.</w:t>
      </w:r>
    </w:p>
    <w:p>
      <w:pPr>
        <w:pStyle w:val="ListNumber"/>
      </w:pPr>
      <w:r>
        <w:t>Non esistono trasferimenti amministrativi arbitrari del capitale.</w:t>
      </w:r>
    </w:p>
    <w:p>
      <w:pPr>
        <w:pStyle w:val="ListNumber"/>
      </w:pPr>
      <w:r>
        <w:t>Il vault può recuperare tutto il capitale dai tre protocolli nei test normali.</w:t>
      </w:r>
    </w:p>
    <w:p>
      <w:pPr>
        <w:pStyle w:val="ListNumber"/>
      </w:pPr>
      <w:r>
        <w:t>Donazioni non consentono estrazione di valore superiore a quanto apportato.</w:t>
      </w:r>
    </w:p>
    <w:p>
      <w:pPr>
        <w:pStyle w:val="ListNumber"/>
      </w:pPr>
      <w:r>
        <w:t>Il backend non può superare hard limit on-chain.</w:t>
      </w:r>
    </w:p>
    <w:p>
      <w:pPr>
        <w:pStyle w:val="ListNumber"/>
      </w:pPr>
      <w:r>
        <w:t>Due keeper non possono eseguire due volte la stessa operazione.</w:t>
      </w:r>
    </w:p>
    <w:p>
      <w:pPr>
        <w:pStyle w:val="ListNumber"/>
      </w:pPr>
      <w:r>
        <w:t>La riconciliazione tra backend e chain non presenta differenze non spiegate.</w:t>
      </w:r>
    </w:p>
    <w:p>
      <w:pPr>
        <w:pStyle w:val="ListNumber"/>
      </w:pPr>
      <w:r>
        <w:t>Le pause mantengono disponibili repay e uscita quando tecnicamente possibile.</w:t>
      </w:r>
    </w:p>
    <w:p>
      <w:pPr>
        <w:pStyle w:val="Heading1"/>
      </w:pPr>
      <w:r>
        <w:t>7. Condizioni di stop</w:t>
      </w:r>
    </w:p>
    <w:p>
      <w:pPr>
        <w:pStyle w:val="ListBullet"/>
      </w:pPr>
      <w:r>
        <w:t>Errore o incertezza nel NAV.</w:t>
      </w:r>
    </w:p>
    <w:p>
      <w:pPr>
        <w:pStyle w:val="ListBullet"/>
      </w:pPr>
      <w:r>
        <w:t>Differenza contabile non spiegata.</w:t>
      </w:r>
    </w:p>
    <w:p>
      <w:pPr>
        <w:pStyle w:val="ListBullet"/>
      </w:pPr>
      <w:r>
        <w:t>Oracle stale o anomalo.</w:t>
      </w:r>
    </w:p>
    <w:p>
      <w:pPr>
        <w:pStyle w:val="ListBullet"/>
      </w:pPr>
      <w:r>
        <w:t>Plugin incapace di ritirare l’importo atteso.</w:t>
      </w:r>
    </w:p>
    <w:p>
      <w:pPr>
        <w:pStyle w:val="ListBullet"/>
      </w:pPr>
      <w:r>
        <w:t>Perdita non spiegata anche minima.</w:t>
      </w:r>
    </w:p>
    <w:p>
      <w:pPr>
        <w:pStyle w:val="ListBullet"/>
      </w:pPr>
      <w:r>
        <w:t>Operation replay o permessi eccessivi.</w:t>
      </w:r>
    </w:p>
    <w:p>
      <w:pPr>
        <w:pStyle w:val="ListBullet"/>
      </w:pPr>
      <w:r>
        <w:t>Upgrade che altera lo stato in modo inatteso.</w:t>
      </w:r>
    </w:p>
    <w:p>
      <w:pPr>
        <w:pStyle w:val="Heading1"/>
      </w:pPr>
      <w:r>
        <w:t>8. Roadmap tecnica derivata dai file iniziali</w:t>
      </w:r>
    </w:p>
    <w:p>
      <w:r>
        <w:t>La roadmap originaria prevedeva Base Asset Abstraction, validazione dei tre pool su Arbitrum, config multi-chain, nuovi plugin e piramide. Poiché la Base Asset Abstraction è dichiarata implementata, il prossimo lavoro si concentra su verifica del codice, ERC-4626, PoC 1A e consolidamento dei plugin.</w:t>
      </w:r>
    </w:p>
    <w:p>
      <w:pPr>
        <w:pStyle w:val="ListNumber"/>
      </w:pPr>
      <w:r>
        <w:t>Verificare il repository contro la documentazione multi-base-asset.</w:t>
      </w:r>
    </w:p>
    <w:p>
      <w:pPr>
        <w:pStyle w:val="ListNumber"/>
      </w:pPr>
      <w:r>
        <w:t>Integrare o allineare ERC-4626.</w:t>
      </w:r>
    </w:p>
    <w:p>
      <w:pPr>
        <w:pStyle w:val="ListNumber"/>
      </w:pPr>
      <w:r>
        <w:t>Implementare protezioni donation/inflation.</w:t>
      </w:r>
    </w:p>
    <w:p>
      <w:pPr>
        <w:pStyle w:val="ListNumber"/>
      </w:pPr>
      <w:r>
        <w:t>Definire e testare il vault USDC Conservativo 1A.</w:t>
      </w:r>
    </w:p>
    <w:p>
      <w:pPr>
        <w:pStyle w:val="ListNumber"/>
      </w:pPr>
      <w:r>
        <w:t>Consolidare monitoraggio e keeper ridondanti.</w:t>
      </w:r>
    </w:p>
    <w:p>
      <w:pPr>
        <w:pStyle w:val="ListNumber"/>
      </w:pPr>
      <w:r>
        <w:t>Passare a borrowing 1B soltanto dopo gli acceptance criteria.</w:t>
      </w:r>
    </w:p>
    <w:p>
      <w:pPr>
        <w:pStyle w:val="ListNumber"/>
      </w:pPr>
      <w:r>
        <w:t>Produrre specifiche separate per ogni nuovo protocollo e strategia.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