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ptos Display" w:hAnsi="Aptos Display"/>
          <w:b/>
          <w:color w:val="0F6B6D"/>
          <w:sz w:val="32"/>
        </w:rPr>
        <w:t>JETHOS PROTOCOL</w:t>
      </w:r>
    </w:p>
    <w:p>
      <w:pPr>
        <w:pStyle w:val="Title"/>
        <w:jc w:val="center"/>
      </w:pPr>
      <w:r>
        <w:t>Mappa della documentazione</w:t>
      </w:r>
    </w:p>
    <w:p>
      <w:pPr>
        <w:pStyle w:val="Subtitle"/>
        <w:jc w:val="center"/>
      </w:pPr>
      <w:r>
        <w:t>Struttura, ordine di lettura e stato dei documenti</w:t>
      </w:r>
    </w:p>
    <w:p>
      <w:pPr>
        <w:spacing w:before="500"/>
        <w:jc w:val="center"/>
      </w:pPr>
      <w:r>
        <w:rPr>
          <w:rFonts w:ascii="Aptos" w:hAnsi="Aptos"/>
          <w:color w:val="666666"/>
          <w:sz w:val="21"/>
        </w:rPr>
        <w:t>Versione 0.1 · 22 luglio 2026</w:t>
      </w:r>
    </w:p>
    <w:p>
      <w:pPr>
        <w:jc w:val="center"/>
      </w:pPr>
      <w:r>
        <w:rPr>
          <w:rFonts w:ascii="Aptos" w:hAnsi="Aptos"/>
          <w:b/>
          <w:color w:val="C65911"/>
          <w:sz w:val="20"/>
        </w:rPr>
        <w:t>Stato: bozza di lavoro consolidata</w:t>
      </w:r>
    </w:p>
    <w:p>
      <w:r>
        <w:br w:type="page"/>
      </w:r>
    </w:p>
    <w:p>
      <w:pPr>
        <w:pStyle w:val="Heading1"/>
      </w:pPr>
      <w:r>
        <w:t>Base documentale e stato delle informazioni</w:t>
      </w:r>
    </w:p>
    <w:p>
      <w:r>
        <w:rPr>
          <w:b/>
        </w:rPr>
        <w:t xml:space="preserve">Fonti iniziali fornite: </w:t>
      </w:r>
      <w:r>
        <w:t>Plan_baseasssetabstraction.md; explenation_file.md; plan_baseasset_phases.md.</w:t>
      </w:r>
    </w:p>
    <w:p>
      <w:r>
        <w:rPr>
          <w:b/>
        </w:rPr>
        <w:t xml:space="preserve">Decisioni consolidate: </w:t>
      </w:r>
      <w:r>
        <w:t>risposte e chiarimenti forniti nella conversazione fino al 22 luglio 2026.</w:t>
      </w:r>
    </w:p>
    <w:p>
      <w:r>
        <w:rPr>
          <w:b/>
        </w:rPr>
        <w:t xml:space="preserve">Regola di prevalenza: </w:t>
      </w:r>
      <w:r>
        <w:t>quando un documento iniziale descrive una fase come futura ma la conversazione conferma che è stata implementata, il documento riporta entrambe le informazioni e considera la decisione più recente come stato corrente dichiarato.</w:t>
      </w:r>
    </w:p>
    <w:p>
      <w:pPr>
        <w:pStyle w:val="Heading1"/>
      </w:pPr>
      <w:r>
        <w:t>Scopo del pacchetto</w:t>
      </w:r>
    </w:p>
    <w:p>
      <w:r>
        <w:t>Questo pacchetto trasforma i tre documenti tecnici iniziali e le decisioni emerse nel confronto in una documentazione coordinata. I documenti non sostituiscono specifiche di codice, audit o analisi legale: costituiscono la base condivisa dalla quale produrre tali artefatti.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JethosCallout"/>
            </w:pPr>
            <w:r>
              <w:rPr>
                <w:rFonts w:ascii="Aptos" w:hAnsi="Aptos"/>
                <w:b/>
                <w:color w:val="375623"/>
                <w:sz w:val="20"/>
              </w:rPr>
              <w:t>Il Master Vision Document è già utilizzabile come base narrativa. Le specifiche numeriche sono intenzionalmente marcate come definitive, provvisorie o future.</w:t>
            </w:r>
          </w:p>
        </w:tc>
      </w:tr>
    </w:tbl>
    <w:p>
      <w:pPr>
        <w:spacing w:after="0"/>
      </w:pPr>
    </w:p>
    <w:p>
      <w:pPr>
        <w:pStyle w:val="Heading1"/>
      </w:pPr>
      <w:r>
        <w:t>Ordine di lettura consigliato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N.</w:t>
            </w:r>
          </w:p>
        </w:tc>
        <w:tc>
          <w:tcPr>
            <w:tcW w:type="dxa" w:w="33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33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Funzione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01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Master Vision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Perché esiste Jethos, cosa offre, principi e obiettivo finale.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02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Product &amp; Vault Taxonomy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Famiglie di vault, profili di rischio, livelli della piramide e user experience.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03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Protocol Architecture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Core ERC-20, base asset, plugin, backend, hard limit e trust model.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04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Accounting, Shares &amp; ERC-4626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NAV, share, donazioni, reward, arrotondamenti e standard.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05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Risk Framework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Punteggi quantitativi, limiti, health factor, concentrazione e contagio.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06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Strategy &amp; Automation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Strategy Engine, monitoraggio, keeper, ribilanciamenti e APY simulato.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07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Liquidity &amp; Withdrawals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Riserve, prelievi sincroni e futuro ERC-7540/7887.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08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Governance &amp; Security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Community approved, multisig, upgrade, pause ed emergenze.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09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Multi-chain &amp; Composability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Deployment separati, futura esposizione cross-chain e DAG dei vault.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10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PoC &amp; Roadmap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Primo vault USDC Conservativo e sequenza 1A/1B/1C.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11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Open Questions &amp; Decision Backlog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Domande future organizzate per priorità e milestone.</w:t>
            </w:r>
          </w:p>
        </w:tc>
      </w:tr>
    </w:tbl>
    <w:p>
      <w:pPr>
        <w:spacing w:after="0"/>
      </w:pPr>
    </w:p>
    <w:p>
      <w:pPr>
        <w:pStyle w:val="Heading1"/>
      </w:pPr>
      <w:r>
        <w:t>Legenda degli stati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Stato</w:t>
            </w:r>
          </w:p>
        </w:tc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Significato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DECISO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Principio o scelta accettata esplicitamente.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PROVVISORIO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Valore proposto per poter progettare e testare; può essere modificato.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FUTURO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Elemento deliberatamente rinviato a una fase successiva.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APERTO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Decisione ancora necessaria prima della milestone indicata.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DA VERIFICARE NEL CODICE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Parametro già presente nei contratti ma non estratto nei documenti disponibili.</w:t>
            </w:r>
          </w:p>
        </w:tc>
      </w:tr>
    </w:tbl>
    <w:p>
      <w:pPr>
        <w:spacing w:after="0"/>
      </w:pPr>
    </w:p>
    <w:p>
      <w:pPr>
        <w:pStyle w:val="Heading1"/>
      </w:pPr>
      <w:r>
        <w:t>Versioning consigliato</w:t>
      </w:r>
    </w:p>
    <w:p>
      <w:pPr>
        <w:pStyle w:val="ListBullet"/>
      </w:pPr>
      <w:r>
        <w:t>v0.1: visione consolidata e primo PoC definito a livello funzionale.</w:t>
      </w:r>
    </w:p>
    <w:p>
      <w:pPr>
        <w:pStyle w:val="ListBullet"/>
      </w:pPr>
      <w:r>
        <w:t>v0.2: verifica contro il repository, indirizzi, interfacce e parametri reali.</w:t>
      </w:r>
    </w:p>
    <w:p>
      <w:pPr>
        <w:pStyle w:val="ListBullet"/>
      </w:pPr>
      <w:r>
        <w:t>v0.3: threat model, test plan e specifica del PoC 1A.</w:t>
      </w:r>
    </w:p>
    <w:p>
      <w:pPr>
        <w:pStyle w:val="ListBullet"/>
      </w:pPr>
      <w:r>
        <w:t>v0.4: revisione successiva a test fork e testnet/private deployment.</w:t>
      </w:r>
    </w:p>
    <w:p>
      <w:pPr>
        <w:pStyle w:val="ListBullet"/>
      </w:pPr>
      <w:r>
        <w:t>v1.0: versione pubblica accompagnata da audit e documentazione di rischio.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5"/>
      </w:rPr>
      <w:t>Documento di lavoro — decisioni da validare tramite codice, test, audit e governance.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666"/>
        <w:sz w:val="16"/>
      </w:rPr>
      <w:t>Jethos Protocol · Documentazione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6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C659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0F6B6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ethosCallout">
    <w:name w:val="Jethos Callout"/>
    <w:pPr>
      <w:spacing w:before="120" w:after="140"/>
      <w:ind w:left="317" w:right="317"/>
    </w:pPr>
    <w:rPr>
      <w:rFonts w:ascii="Aptos" w:hAnsi="Aptos"/>
      <w:color w:val="17365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