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F6B6D"/>
          <w:sz w:val="32"/>
        </w:rPr>
        <w:t>JETHOS PROTOCOL</w:t>
      </w:r>
    </w:p>
    <w:p>
      <w:pPr>
        <w:pStyle w:val="Title"/>
        <w:jc w:val="center"/>
      </w:pPr>
      <w:r>
        <w:t>Risk Framework</w:t>
      </w:r>
    </w:p>
    <w:p>
      <w:pPr>
        <w:pStyle w:val="Subtitle"/>
        <w:jc w:val="center"/>
      </w:pPr>
      <w:r>
        <w:t>Profili, metriche quantitative, cap e protezione del capitale</w:t>
      </w:r>
    </w:p>
    <w:p>
      <w:pPr>
        <w:spacing w:before="500"/>
        <w:jc w:val="center"/>
      </w:pPr>
      <w:r>
        <w:rPr>
          <w:rFonts w:ascii="Aptos" w:hAnsi="Aptos"/>
          <w:color w:val="666666"/>
          <w:sz w:val="21"/>
        </w:rPr>
        <w:t>Versione 0.1 · 22 luglio 2026</w:t>
      </w:r>
    </w:p>
    <w:p>
      <w:pPr>
        <w:jc w:val="center"/>
      </w:pPr>
      <w:r>
        <w:rPr>
          <w:rFonts w:ascii="Aptos" w:hAnsi="Aptos"/>
          <w:b/>
          <w:color w:val="C65911"/>
          <w:sz w:val="20"/>
        </w:rPr>
        <w:t>Stato: bozza di lavoro consolidata</w:t>
      </w:r>
    </w:p>
    <w:p>
      <w:r>
        <w:br w:type="page"/>
      </w:r>
    </w:p>
    <w:p>
      <w:pPr>
        <w:pStyle w:val="Heading1"/>
      </w:pPr>
      <w:r>
        <w:t>Base documentale e stato delle informazioni</w:t>
      </w:r>
    </w:p>
    <w:p>
      <w:r>
        <w:rPr>
          <w:b/>
        </w:rPr>
        <w:t xml:space="preserve">Fonti iniziali fornite: </w:t>
      </w:r>
      <w:r>
        <w:t>Plan_baseasssetabstraction.md; explenation_file.md; plan_baseasset_phases.md.</w:t>
      </w:r>
    </w:p>
    <w:p>
      <w:r>
        <w:rPr>
          <w:b/>
        </w:rPr>
        <w:t xml:space="preserve">Decisioni consolidate: </w:t>
      </w:r>
      <w:r>
        <w:t>risposte e chiarimenti forniti nella conversazione fino al 22 luglio 2026.</w:t>
      </w:r>
    </w:p>
    <w:p>
      <w:r>
        <w:rPr>
          <w:b/>
        </w:rPr>
        <w:t xml:space="preserve">Regola di prevalenza: </w:t>
      </w:r>
      <w:r>
        <w:t>quando un documento iniziale descrive una fase come futura ma la conversazione conferma che è stata implementata, il documento riporta entrambe le informazioni e considera la decisione più recente come stato corrente dichiarato.</w:t>
      </w:r>
    </w:p>
    <w:p>
      <w:pPr>
        <w:pStyle w:val="Heading1"/>
      </w:pPr>
      <w:r>
        <w:t>1. Obiettivo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Il vault mira a preservare e accrescere il capitale espresso nel proprio base asset, mantenendo entro limiti prestabiliti le esposizioni nette verso asset diversi dal base asset.</w:t>
            </w:r>
          </w:p>
        </w:tc>
      </w:tr>
    </w:tbl>
    <w:p>
      <w:pPr>
        <w:spacing w:after="0"/>
      </w:pPr>
    </w:p>
    <w:p>
      <w:r>
        <w:t>Il rischio viene presentato all’utente attraverso tre profili semplici, ma calcolato attraverso parametri quantitativi. “Conservativo” non significa privo di rischio: indica limiti più severi, liquidità superiore e dipendenze inferiori.</w:t>
      </w:r>
    </w:p>
    <w:p>
      <w:pPr>
        <w:pStyle w:val="Heading1"/>
      </w:pPr>
      <w:r>
        <w:t>2. Dimensioni del risk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Dimensione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Esempi di indicatori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Smart contract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Audit, anzianità, incidenti, upgradeability, bug bounty.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Protocollo e governance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Concentrazione admin, timelock, pause, dipendenze.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Mercato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TVL, utilization, liquidità prelevabile, concentrazione.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Oracle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Fonte, staleness, fallback, deviazione, manipulabilità.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Asset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Volatilità, depeg, wrapper, emittente, redemption.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Debito e liquidazione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LTV, health factor, correlazione, velocità di deleverage.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Strategia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Numero di gambe, leva, derivati, scadenze, asincronia.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Chain/bridge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Finalità, sequencer, bridge, messaging, wrapped representation.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Operativo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Keeper, chiavi, monitoraggio, possibilità di doppia esecuzione.</w:t>
            </w:r>
          </w:p>
        </w:tc>
      </w:tr>
    </w:tbl>
    <w:p>
      <w:pPr>
        <w:spacing w:after="0"/>
      </w:pPr>
    </w:p>
    <w:p>
      <w:pPr>
        <w:pStyle w:val="Heading1"/>
      </w:pPr>
      <w:r>
        <w:t>3. Parametri provvisori dei profili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Parametro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Conservativo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Bilanciato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Avanzato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Leva target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1,00x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Da definire per strategia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Da definire per strategia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Leva massima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1,10x PROVVISORIO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PROVVISORIO ≤1,30x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PROVVISORIO ≤1,75x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Debt ratio massimo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10% PROVVISORIO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25% PROVVISORIO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45% PROVVISORIO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HF target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≥2,2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≥1,8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≥1,5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HF rebalance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2,0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1,6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1,35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HF emergenza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1,8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1,4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1,25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Cap per protocollo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15%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20%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20%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Cap per mercato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10%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15%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20%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Quota max del mercato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5% della liquidità utile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10%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5"/>
              </w:rPr>
              <w:t>15%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Riserva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Più elevata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Intermedia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5"/>
              </w:rPr>
              <w:t>Inferiore ma non nulla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C65911"/>
                <w:sz w:val="20"/>
              </w:rPr>
              <w:t>I valori sono proposte operative per strutturare test e documentazione, non parametri definitivi. Le strategie supply-only del PoC 1A non usano leva né debito.</w:t>
            </w:r>
          </w:p>
        </w:tc>
      </w:tr>
    </w:tbl>
    <w:p>
      <w:pPr>
        <w:spacing w:after="0"/>
      </w:pPr>
    </w:p>
    <w:p>
      <w:pPr>
        <w:pStyle w:val="Heading1"/>
      </w:pPr>
      <w:r>
        <w:t>4. Health factor e metriche complementari</w:t>
      </w:r>
    </w:p>
    <w:p>
      <w:r>
        <w:t>Jethos deve controllare contemporaneamente leva, debt ratio, LTV, health factor, buffer dalla liquidazione, correlazione e liquidità. Nessuna singola metrica descrive da sola la sicurezza della posizione.</w:t>
      </w:r>
    </w:p>
    <w:p>
      <w:pPr>
        <w:pStyle w:val="Heading1"/>
      </w:pPr>
      <w:r>
        <w:t>5. Concentrazione</w:t>
      </w:r>
    </w:p>
    <w:p>
      <w:pPr>
        <w:pStyle w:val="ListBullet"/>
      </w:pPr>
      <w:r>
        <w:t>Massimo provvisorio generale del 20% per protocollo e mercato, con limiti inferiori nei profili prudenti.</w:t>
      </w:r>
    </w:p>
    <w:p>
      <w:pPr>
        <w:pStyle w:val="ListBullet"/>
      </w:pPr>
      <w:r>
        <w:t>Cap dinamico rispetto a TVL, liquidità prelevabile e importo uscibile entro una finestra.</w:t>
      </w:r>
    </w:p>
    <w:p>
      <w:pPr>
        <w:pStyle w:val="ListBullet"/>
      </w:pPr>
      <w:r>
        <w:t>Il deposito deve simulare l’effetto sull’utilization e sull’APY post-allocazione.</w:t>
      </w:r>
    </w:p>
    <w:p>
      <w:pPr>
        <w:pStyle w:val="ListBullet"/>
      </w:pPr>
      <w:r>
        <w:t>Il limite di protocollo deve considerare anche esposizioni indirette attraverso vault e asset.</w:t>
      </w:r>
    </w:p>
    <w:p>
      <w:pPr>
        <w:pStyle w:val="Heading1"/>
      </w:pPr>
      <w:r>
        <w:t>6. Strategie e categorie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Conservativo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Bilanciato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Avanzato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Lending supply-only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Sì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Sì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Sì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Borrowing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Assente o minimo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Limitato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Consentito entro limiti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Staking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Possibile se semplice e liquido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Sì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Sì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Restaking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No inizialmente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Limitato / valutato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Sì se approvato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Pendle PT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Non inizialmente; possibile in futuro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Sì selezionato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Sì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Perpetual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No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Solo strategie specifiche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Sì con hedge e cap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Bridge/cross-chain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No inizialmente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Futuro con limiti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Futuro con limiti</w:t>
            </w:r>
          </w:p>
        </w:tc>
      </w:tr>
    </w:tbl>
    <w:p>
      <w:pPr>
        <w:spacing w:after="0"/>
      </w:pPr>
    </w:p>
    <w:p>
      <w:pPr>
        <w:pStyle w:val="Heading1"/>
      </w:pPr>
      <w:r>
        <w:t>7. Loss budget provvisorio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Modalità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Perdita massima proposta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Comportamento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Ordinaria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0,10%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Operazione consentita se motivata dai costi normali e dai limiti.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Emergency automation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0,50%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Unwind automatico per evitare una perdita maggiore, con evento e modalità dedicata.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Multisig emergency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2,00%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Intervento straordinario motivato e registrato.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Oltre soglia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Nessuna esecuzione automatica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Pausa, analisi e piano di recovery.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CC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9C0006"/>
                <w:sz w:val="20"/>
              </w:rPr>
              <w:t>PROVVISORIO: i loss budget devono essere definiti per strategia e testati con scenari estremi. Non sono promesse di perdita massima per l’utente.</w:t>
            </w:r>
          </w:p>
        </w:tc>
      </w:tr>
    </w:tbl>
    <w:p>
      <w:pPr>
        <w:spacing w:after="0"/>
      </w:pPr>
    </w:p>
    <w:p>
      <w:pPr>
        <w:pStyle w:val="Heading1"/>
      </w:pPr>
      <w:r>
        <w:t>8. Risk scoring del team</w:t>
      </w:r>
    </w:p>
    <w:p>
      <w:pPr>
        <w:pStyle w:val="ListBullet"/>
      </w:pPr>
      <w:r>
        <w:t>Metodologia pubblica e versionata.</w:t>
      </w:r>
    </w:p>
    <w:p>
      <w:pPr>
        <w:pStyle w:val="ListBullet"/>
      </w:pPr>
      <w:r>
        <w:t>Motivazione di ogni punteggio e variazione.</w:t>
      </w:r>
    </w:p>
    <w:p>
      <w:pPr>
        <w:pStyle w:val="ListBullet"/>
      </w:pPr>
      <w:r>
        <w:t>Possibilità di disabilitare rapidamente mercati senza bloccare repay e withdraw.</w:t>
      </w:r>
    </w:p>
    <w:p>
      <w:pPr>
        <w:pStyle w:val="ListBullet"/>
      </w:pPr>
      <w:r>
        <w:t>Revisione futura indipendente e community approval.</w:t>
      </w:r>
    </w:p>
    <w:p>
      <w:pPr>
        <w:pStyle w:val="ListBullet"/>
      </w:pPr>
      <w:r>
        <w:t>Separazione tra rating del protocollo e rating della specifica strategia.</w:t>
      </w:r>
    </w:p>
    <w:p>
      <w:pPr>
        <w:pStyle w:val="Heading1"/>
      </w:pPr>
      <w:r>
        <w:t>9. Contagio e isolamento</w:t>
      </w:r>
    </w:p>
    <w:p>
      <w:pPr>
        <w:pStyle w:val="ListBullet"/>
      </w:pPr>
      <w:r>
        <w:t>Cap per plugin e vault sottostante.</w:t>
      </w:r>
    </w:p>
    <w:p>
      <w:pPr>
        <w:pStyle w:val="ListBullet"/>
      </w:pPr>
      <w:r>
        <w:t>Nessun ciclo nel grafo dei vault.</w:t>
      </w:r>
    </w:p>
    <w:p>
      <w:pPr>
        <w:pStyle w:val="ListBullet"/>
      </w:pPr>
      <w:r>
        <w:t>Mercati collateralizzati isolati per le share Jethos.</w:t>
      </w:r>
    </w:p>
    <w:p>
      <w:pPr>
        <w:pStyle w:val="ListBullet"/>
      </w:pPr>
      <w:r>
        <w:t>Contabilità look-through delle esposizioni.</w:t>
      </w:r>
    </w:p>
    <w:p>
      <w:pPr>
        <w:pStyle w:val="ListBullet"/>
      </w:pPr>
      <w:r>
        <w:t>Possibilità di sospendere una strategia senza bloccare l’intero vault.</w:t>
      </w:r>
    </w:p>
    <w:p>
      <w:pPr>
        <w:pStyle w:val="ListBullet"/>
      </w:pPr>
      <w:r>
        <w:t>Cross-chain come modulo separato con cap dedicato.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Documento di lavoro — decisioni da validare tramite codice, test, audit e governance.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Jethos Protocol · Documentazione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hosCallout">
    <w:name w:val="Jethos Callout"/>
    <w:pPr>
      <w:spacing w:before="120" w:after="140"/>
      <w:ind w:left="317" w:right="31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