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Liquidity &amp; Withdrawal Framework</w:t>
      </w:r>
    </w:p>
    <w:p>
      <w:pPr>
        <w:pStyle w:val="Subtitle"/>
        <w:jc w:val="center"/>
      </w:pPr>
      <w:r>
        <w:t>Riserve dinamiche, prelievi sincroni e queue future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Riserva liquida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La riserva è composta esclusivamente da base asset non investito. Posizioni Aave, Morpho o Euler, anche se rapidamente riscattabili, restano investimenti e non vengono conteggiate nella riserva primaria.</w:t>
            </w:r>
          </w:p>
        </w:tc>
      </w:tr>
    </w:tbl>
    <w:p>
      <w:pPr>
        <w:spacing w:after="0"/>
      </w:pPr>
    </w:p>
    <w:p>
      <w:pPr>
        <w:pStyle w:val="Heading1"/>
      </w:pPr>
      <w:r>
        <w:t>2. Intervallo dinamico</w:t>
      </w:r>
    </w:p>
    <w:p>
      <w:r>
        <w:t>La riserva non viene mantenuta a una percentuale esatta. Tre soglie evitano ribilanciamenti inefficienti: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Soglia PoC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Azione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Minimo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35%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Recuperare liquidità o bloccare nuove allocazioni.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Target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45%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Livello operativo desiderato.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Massimo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55%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Investire l’eccesso se il beneficio netto giustifica il costo.</w:t>
            </w:r>
          </w:p>
        </w:tc>
      </w:tr>
    </w:tbl>
    <w:p>
      <w:pPr>
        <w:spacing w:after="0"/>
      </w:pPr>
    </w:p>
    <w:p>
      <w:r>
        <w:t>I valori del PoC sono volutamente conservativi e riducono il rendimento sul NAV. In produzione le soglie dipenderanno da profilo, storico di flussi, liquidità delle strategie e costo di unwind.</w:t>
      </w:r>
    </w:p>
    <w:p>
      <w:pPr>
        <w:pStyle w:val="Heading1"/>
      </w:pPr>
      <w:r>
        <w:t>3. Waterfall del prelievo</w:t>
      </w:r>
    </w:p>
    <w:p>
      <w:pPr>
        <w:pStyle w:val="ListNumber"/>
      </w:pPr>
      <w:r>
        <w:t>Base asset nella riserva.</w:t>
      </w:r>
    </w:p>
    <w:p>
      <w:pPr>
        <w:pStyle w:val="ListNumber"/>
      </w:pPr>
      <w:r>
        <w:t>Lending supply immediatamente riscattabile.</w:t>
      </w:r>
    </w:p>
    <w:p>
      <w:pPr>
        <w:pStyle w:val="ListNumber"/>
      </w:pPr>
      <w:r>
        <w:t>Altre strategie liquide.</w:t>
      </w:r>
    </w:p>
    <w:p>
      <w:pPr>
        <w:pStyle w:val="ListNumber"/>
      </w:pPr>
      <w:r>
        <w:t>Strategie con più passaggi o scadenze.</w:t>
      </w:r>
    </w:p>
    <w:p>
      <w:pPr>
        <w:pStyle w:val="ListNumber"/>
      </w:pPr>
      <w:r>
        <w:t>Future posizioni asincrone tramite queue.</w:t>
      </w:r>
    </w:p>
    <w:p>
      <w:pPr>
        <w:pStyle w:val="Heading1"/>
      </w:pPr>
      <w:r>
        <w:t>4. PoC sincrono</w:t>
      </w:r>
    </w:p>
    <w:p>
      <w:pPr>
        <w:pStyle w:val="ListBullet"/>
      </w:pPr>
      <w:r>
        <w:t>ERC-4626 standard.</w:t>
      </w:r>
    </w:p>
    <w:p>
      <w:pPr>
        <w:pStyle w:val="ListBullet"/>
      </w:pPr>
      <w:r>
        <w:t>Il prelievo viene completato nella stessa transazione oppure fallisce.</w:t>
      </w:r>
    </w:p>
    <w:p>
      <w:pPr>
        <w:pStyle w:val="ListBullet"/>
      </w:pPr>
      <w:r>
        <w:t>Nessuna withdrawal queue nel PoC 1A.</w:t>
      </w:r>
    </w:p>
    <w:p>
      <w:pPr>
        <w:pStyle w:val="ListBullet"/>
      </w:pPr>
      <w:r>
        <w:t>Nessuna promessa di tempo differito.</w:t>
      </w:r>
    </w:p>
    <w:p>
      <w:pPr>
        <w:pStyle w:val="ListBullet"/>
      </w:pPr>
      <w:r>
        <w:t>Test su riserva sufficiente e recupero dai tre protocolli.</w:t>
      </w:r>
    </w:p>
    <w:p>
      <w:pPr>
        <w:pStyle w:val="Heading1"/>
      </w:pPr>
      <w:r>
        <w:t>5. Queue futura per epoche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Le richieste vengono raccolte per epoca; il vault recupera liquidità; tutti gli utenti dell’epoca vengono soddisfatti pro-rata; il residuo passa all’epoca successiva.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Esempio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Richiesta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Disponibile al 50%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Residuo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Alice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100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50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50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Bob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200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100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100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Carlo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700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350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350</w:t>
            </w:r>
          </w:p>
        </w:tc>
      </w:tr>
    </w:tbl>
    <w:p>
      <w:pPr>
        <w:spacing w:after="0"/>
      </w:pPr>
    </w:p>
    <w:p>
      <w:r>
        <w:t>La proporzionalità della coda è distinta dalla proporzionalità economica delle share: ogni utente conserva sempre il diritto al valore netto corrispondente alle proprie share, salvo perdite del vault.</w:t>
      </w:r>
    </w:p>
    <w:p>
      <w:pPr>
        <w:pStyle w:val="Heading1"/>
      </w:pPr>
      <w:r>
        <w:t>6. ERC-7540 e 7887</w:t>
      </w:r>
    </w:p>
    <w:p>
      <w:pPr>
        <w:pStyle w:val="ListBullet"/>
      </w:pPr>
      <w:r>
        <w:t>ERC-7540 come base per requestRedeem, pending e claimable.</w:t>
      </w:r>
    </w:p>
    <w:p>
      <w:pPr>
        <w:pStyle w:val="ListBullet"/>
      </w:pPr>
      <w:r>
        <w:t>Request ID utilizzabile come identificativo dell’epoca.</w:t>
      </w:r>
    </w:p>
    <w:p>
      <w:pPr>
        <w:pStyle w:val="ListBullet"/>
      </w:pPr>
      <w:r>
        <w:t>Possibilità di claim parziale e residuo pendente.</w:t>
      </w:r>
    </w:p>
    <w:p>
      <w:pPr>
        <w:pStyle w:val="ListBullet"/>
      </w:pPr>
      <w:r>
        <w:t>ERC-7887 o logica equivalente da valutare per cancellare richieste ancora reversibili.</w:t>
      </w:r>
    </w:p>
    <w:p>
      <w:pPr>
        <w:pStyle w:val="Heading1"/>
      </w:pPr>
      <w:r>
        <w:t>7. Costo dei prelievi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Politica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PoC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Nessuna fee aggiuntiva sul prelievo; misurazione dei costi reali.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Futuro immediato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Costo reale delle operazioni necessario al disinvestimento.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Futuro prodotto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Possibile percentuale aggiuntiva destinata al protocollo, dichiarata chiaramente.</w:t>
            </w:r>
          </w:p>
        </w:tc>
      </w:tr>
    </w:tbl>
    <w:p>
      <w:pPr>
        <w:spacing w:after="0"/>
      </w:pPr>
    </w:p>
    <w:p>
      <w:pPr>
        <w:pStyle w:val="Heading1"/>
      </w:pPr>
      <w:r>
        <w:t>8. Prelievo in natura di emergenza</w:t>
      </w:r>
    </w:p>
    <w:p>
      <w:r>
        <w:t>Deve esistere come opzione architetturale futura: se la conversione in base asset è impossibile o distruttiva, l’utente può ricevere una quota proporzionale degli asset sottostanti. Questa modalità richiede adapter per token, debiti, posizioni non trasferibili e comunicazione molto chiara; non è parte del PoC.</w:t>
      </w:r>
    </w:p>
    <w:p>
      <w:pPr>
        <w:pStyle w:val="Heading1"/>
      </w:pPr>
      <w:r>
        <w:t>9. Condizioni di blocco dei depositi</w:t>
      </w:r>
    </w:p>
    <w:p>
      <w:pPr>
        <w:pStyle w:val="ListBullet"/>
      </w:pPr>
      <w:r>
        <w:t>Vault o depositi in pausa.</w:t>
      </w:r>
    </w:p>
    <w:p>
      <w:pPr>
        <w:pStyle w:val="ListBullet"/>
      </w:pPr>
      <w:r>
        <w:t>Cap raggiunto.</w:t>
      </w:r>
    </w:p>
    <w:p>
      <w:pPr>
        <w:pStyle w:val="ListBullet"/>
      </w:pPr>
      <w:r>
        <w:t>NAV o oracle non affidabile.</w:t>
      </w:r>
    </w:p>
    <w:p>
      <w:pPr>
        <w:pStyle w:val="ListBullet"/>
      </w:pPr>
      <w:r>
        <w:t>Prezzo per share anomalo.</w:t>
      </w:r>
    </w:p>
    <w:p>
      <w:pPr>
        <w:pStyle w:val="ListBullet"/>
      </w:pPr>
      <w:r>
        <w:t>Health factor sotto soglia.</w:t>
      </w:r>
    </w:p>
    <w:p>
      <w:pPr>
        <w:pStyle w:val="ListBullet"/>
      </w:pPr>
      <w:r>
        <w:t>Emergency unwind o reconciliation fallita.</w:t>
      </w:r>
    </w:p>
    <w:p>
      <w:pPr>
        <w:pStyle w:val="ListBullet"/>
      </w:pPr>
      <w:r>
        <w:t>Monitoraggio indisponibile oltre la soglia consentita.</w:t>
      </w:r>
    </w:p>
    <w:p>
      <w:pPr>
        <w:pStyle w:val="ListBullet"/>
      </w:pPr>
      <w:r>
        <w:t>Deposito che produrrebbe zero share o concentrazione eccessiva.</w:t>
      </w:r>
    </w:p>
    <w:p>
      <w:pPr>
        <w:pStyle w:val="ListBullet"/>
      </w:pPr>
      <w:r>
        <w:t>Nessun percorso autorizzato per allocare o custodire in sicurezza il capitale.</w:t>
      </w:r>
    </w:p>
    <w:p>
      <w:pPr>
        <w:pStyle w:val="Heading1"/>
      </w:pPr>
      <w:r>
        <w:t>10. UX del prelievo</w:t>
      </w:r>
    </w:p>
    <w:p>
      <w:pPr>
        <w:pStyle w:val="ListBullet"/>
      </w:pPr>
      <w:r>
        <w:t>Mostrare importo immediatamente disponibile.</w:t>
      </w:r>
    </w:p>
    <w:p>
      <w:pPr>
        <w:pStyle w:val="ListBullet"/>
      </w:pPr>
      <w:r>
        <w:t>Mostrare la sorgente della liquidità e il costo stimato.</w:t>
      </w:r>
    </w:p>
    <w:p>
      <w:pPr>
        <w:pStyle w:val="ListBullet"/>
      </w:pPr>
      <w:r>
        <w:t>Per le queue: stato pending/claimable, percentuale soddisfatta e tempo stimato non garantito.</w:t>
      </w:r>
    </w:p>
    <w:p>
      <w:pPr>
        <w:pStyle w:val="ListBullet"/>
      </w:pPr>
      <w:r>
        <w:t>Non descrivere come istantaneo un prodotto che può richiedere disinvestimento.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