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ptos Display" w:hAnsi="Aptos Display"/>
          <w:b/>
          <w:color w:val="0F6B6D"/>
          <w:sz w:val="32"/>
        </w:rPr>
        <w:t>JETHOS PROTOCOL</w:t>
      </w:r>
    </w:p>
    <w:p>
      <w:pPr>
        <w:pStyle w:val="Title"/>
        <w:jc w:val="center"/>
      </w:pPr>
      <w:r>
        <w:t>Multi-chain &amp; Vault Composability</w:t>
      </w:r>
    </w:p>
    <w:p>
      <w:pPr>
        <w:pStyle w:val="Subtitle"/>
        <w:jc w:val="center"/>
      </w:pPr>
      <w:r>
        <w:t>Deployment separati, share cross-chain e piramide</w:t>
      </w:r>
    </w:p>
    <w:p>
      <w:pPr>
        <w:spacing w:before="500"/>
        <w:jc w:val="center"/>
      </w:pPr>
      <w:r>
        <w:rPr>
          <w:rFonts w:ascii="Aptos" w:hAnsi="Aptos"/>
          <w:color w:val="666666"/>
          <w:sz w:val="21"/>
        </w:rPr>
        <w:t>Versione 0.1 · 22 luglio 2026</w:t>
      </w:r>
    </w:p>
    <w:p>
      <w:pPr>
        <w:jc w:val="center"/>
      </w:pPr>
      <w:r>
        <w:rPr>
          <w:rFonts w:ascii="Aptos" w:hAnsi="Aptos"/>
          <w:b/>
          <w:color w:val="C65911"/>
          <w:sz w:val="20"/>
        </w:rPr>
        <w:t>Stato: bozza di lavoro consolidata</w:t>
      </w:r>
    </w:p>
    <w:p>
      <w:r>
        <w:br w:type="page"/>
      </w:r>
    </w:p>
    <w:p>
      <w:pPr>
        <w:pStyle w:val="Heading1"/>
      </w:pPr>
      <w:r>
        <w:t>Base documentale e stato delle informazioni</w:t>
      </w:r>
    </w:p>
    <w:p>
      <w:r>
        <w:rPr>
          <w:b/>
        </w:rPr>
        <w:t xml:space="preserve">Fonti iniziali fornite: </w:t>
      </w:r>
      <w:r>
        <w:t>Plan_baseasssetabstraction.md; explenation_file.md; plan_baseasset_phases.md.</w:t>
      </w:r>
    </w:p>
    <w:p>
      <w:r>
        <w:rPr>
          <w:b/>
        </w:rPr>
        <w:t xml:space="preserve">Decisioni consolidate: </w:t>
      </w:r>
      <w:r>
        <w:t>risposte e chiarimenti forniti nella conversazione fino al 22 luglio 2026.</w:t>
      </w:r>
    </w:p>
    <w:p>
      <w:r>
        <w:rPr>
          <w:b/>
        </w:rPr>
        <w:t xml:space="preserve">Regola di prevalenza: </w:t>
      </w:r>
      <w:r>
        <w:t>quando un documento iniziale descrive una fase come futura ma la conversazione conferma che è stata implementata, il documento riporta entrambe le informazioni e considera la decisione più recente come stato corrente dichiarato.</w:t>
      </w:r>
    </w:p>
    <w:p>
      <w:pPr>
        <w:pStyle w:val="Heading1"/>
      </w:pPr>
      <w:r>
        <w:t>1. Strategia iniziale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JethosCallout"/>
            </w:pPr>
            <w:r>
              <w:rPr>
                <w:rFonts w:ascii="Aptos" w:hAnsi="Aptos"/>
                <w:b/>
                <w:color w:val="375623"/>
                <w:sz w:val="20"/>
              </w:rPr>
              <w:t>I vault sono inizialmente deployment indipendenti per chain. Non comunicano, non spostano capitale tramite bridge e non condividono contabilmente la liquidità.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Deployment</w:t>
            </w:r>
          </w:p>
        </w:tc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Stato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Jethos USDC Arbitrum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Indipendente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Jethos USDC Base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Indipendente futuro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Jethos USDC BNB Chain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Indipendente futuro</w:t>
            </w:r>
          </w:p>
        </w:tc>
      </w:tr>
    </w:tbl>
    <w:p>
      <w:pPr>
        <w:spacing w:after="0"/>
      </w:pPr>
    </w:p>
    <w:p>
      <w:pPr>
        <w:pStyle w:val="Heading1"/>
      </w:pPr>
      <w:r>
        <w:t>2. Config layer multi-chain</w:t>
      </w:r>
    </w:p>
    <w:p>
      <w:pPr>
        <w:pStyle w:val="ListBullet"/>
      </w:pPr>
      <w:r>
        <w:t>Indirizzi dei token e decimali.</w:t>
      </w:r>
    </w:p>
    <w:p>
      <w:pPr>
        <w:pStyle w:val="ListBullet"/>
      </w:pPr>
      <w:r>
        <w:t>Feed oracle e staleness.</w:t>
      </w:r>
    </w:p>
    <w:p>
      <w:pPr>
        <w:pStyle w:val="ListBullet"/>
      </w:pPr>
      <w:r>
        <w:t>Indirizzi e versioni dei protocolli.</w:t>
      </w:r>
    </w:p>
    <w:p>
      <w:pPr>
        <w:pStyle w:val="ListBullet"/>
      </w:pPr>
      <w:r>
        <w:t>Mercati approvati.</w:t>
      </w:r>
    </w:p>
    <w:p>
      <w:pPr>
        <w:pStyle w:val="ListBullet"/>
      </w:pPr>
      <w:r>
        <w:t>Parametri gas e router.</w:t>
      </w:r>
    </w:p>
    <w:p>
      <w:pPr>
        <w:pStyle w:val="ListBullet"/>
      </w:pPr>
      <w:r>
        <w:t>Cap e rischio specifici della chain.</w:t>
      </w:r>
    </w:p>
    <w:p>
      <w:pPr>
        <w:pStyle w:val="ListBullet"/>
      </w:pPr>
      <w:r>
        <w:t>Script di deployment parametrizzati.</w:t>
      </w:r>
    </w:p>
    <w:p>
      <w:pPr>
        <w:pStyle w:val="Heading1"/>
      </w:pPr>
      <w:r>
        <w:t>3. Espansione dei protocolli</w:t>
      </w:r>
    </w:p>
    <w:p>
      <w:r>
        <w:t>La roadmap tecnica iniziale identifica Arbitrum come ambiente da perfezionare e prevede Base e BNB come deployment successivi. La disponibilità effettiva e gli indirizzi dei protocolli devono essere verificati prima di ogni integrazione; la seguente è una mappa di progetto derivata dai documenti iniziali, non una attestazione corrente.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Protocollo</w:t>
            </w:r>
          </w:p>
        </w:tc>
        <w:tc>
          <w:tcPr>
            <w:tcW w:type="dxa" w:w="249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Arbitrum</w:t>
            </w:r>
          </w:p>
        </w:tc>
        <w:tc>
          <w:tcPr>
            <w:tcW w:type="dxa" w:w="249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Base</w:t>
            </w:r>
          </w:p>
        </w:tc>
        <w:tc>
          <w:tcPr>
            <w:tcW w:type="dxa" w:w="249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BNB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Aave V3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Previsto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Previsto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Previsto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Euler V2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Previsto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Previsto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Non previsto inizialmente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Morpho Blue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Previsto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Previsto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Non previsto inizialmente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Compound V3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Previsto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Previsto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Non previsto inizialmente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Dolomite / GMX / Pendle / Silo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Focus Arbitrum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Da valutare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Da valutare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Moonwell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No focus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Focus Base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No focus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Venus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No focus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No focus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Focus BNB</w:t>
            </w:r>
          </w:p>
        </w:tc>
      </w:tr>
    </w:tbl>
    <w:p>
      <w:pPr>
        <w:spacing w:after="0"/>
      </w:pPr>
    </w:p>
    <w:p>
      <w:pPr>
        <w:pStyle w:val="Heading1"/>
      </w:pPr>
      <w:r>
        <w:t>4. Futura esposizione cross-chain tramite share</w:t>
      </w:r>
    </w:p>
    <w:p>
      <w:r>
        <w:t>Quando un vault Arbitrum acquisterà esposizione a un vault Base, l’operazione resterà cross-chain anche se l’oggetto economico è una share. Sarà necessario spostare capitale, trasferire messaggi o rappresentare la share su un’altra chain.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Rischio</w:t>
            </w:r>
          </w:p>
        </w:tc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Conseguenza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Share wrapped non coperta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La rappresentazione remota può non corrispondere alle share reali bloccate.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NAV asincrono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Il vault locale può emettere o riscattare share usando un prezzo remoto obsoleto.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Bridge/messaging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Bug, ritardi, replay o compromissione.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Withdrawal su due livelli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Queue remota + bridge + queue locale aumentano il tempo.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Chain failure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Congestione o arresto può rendere indisponibile una parte del NAV.</w:t>
            </w:r>
          </w:p>
        </w:tc>
      </w:tr>
    </w:tbl>
    <w:p>
      <w:pPr>
        <w:spacing w:after="0"/>
      </w:pPr>
    </w:p>
    <w:p>
      <w:pPr>
        <w:pStyle w:val="Heading1"/>
      </w:pPr>
      <w:r>
        <w:t>5. Regole future cross-chain</w:t>
      </w:r>
    </w:p>
    <w:p>
      <w:pPr>
        <w:pStyle w:val="ListBullet"/>
      </w:pPr>
      <w:r>
        <w:t>Bridge e messaging in allowlist.</w:t>
      </w:r>
    </w:p>
    <w:p>
      <w:pPr>
        <w:pStyle w:val="ListBullet"/>
      </w:pPr>
      <w:r>
        <w:t>Cap specifico per chain e route.</w:t>
      </w:r>
    </w:p>
    <w:p>
      <w:pPr>
        <w:pStyle w:val="ListBullet"/>
      </w:pPr>
      <w:r>
        <w:t>Accounting separato per esposizioni remote.</w:t>
      </w:r>
    </w:p>
    <w:p>
      <w:pPr>
        <w:pStyle w:val="ListBullet"/>
      </w:pPr>
      <w:r>
        <w:t>Oracle/NAV con timestamp e haircut.</w:t>
      </w:r>
    </w:p>
    <w:p>
      <w:pPr>
        <w:pStyle w:val="ListBullet"/>
      </w:pPr>
      <w:r>
        <w:t>Pause della componente cross-chain senza congelare il resto.</w:t>
      </w:r>
    </w:p>
    <w:p>
      <w:pPr>
        <w:pStyle w:val="ListBullet"/>
      </w:pPr>
      <w:r>
        <w:t>Nessuna collateralizzazione ricorsiva tra rappresentazioni remote.</w:t>
      </w:r>
    </w:p>
    <w:p>
      <w:pPr>
        <w:pStyle w:val="ListBullet"/>
      </w:pPr>
      <w:r>
        <w:t>Procedura di recovery per messaggi falliti.</w:t>
      </w:r>
    </w:p>
    <w:p>
      <w:pPr>
        <w:pStyle w:val="Heading1"/>
      </w:pPr>
      <w:r>
        <w:t>6. Piramide e VaultPlugin</w:t>
      </w:r>
    </w:p>
    <w:p>
      <w:r>
        <w:t>Un vault superiore tratta un vault inferiore come un protocollo esterno: deposita il base asset o l’asset richiesto, riceve share, calcola il valore tramite price per share e le riscatta. Questo richiede un VaultPlugin e un registry delle dipendenze.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Operazione</w:t>
            </w:r>
          </w:p>
        </w:tc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Funzione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deposit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Acquista share del vault inferiore entro cap e slippage.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withdraw/redeem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Riscatta share; gestisce eventuale asincronia.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valuation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Share × valore per share, con look-through per il rischio.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dependency check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Verifica DAG e assenza di cicli.</w:t>
            </w:r>
          </w:p>
        </w:tc>
      </w:tr>
    </w:tbl>
    <w:p>
      <w:pPr>
        <w:spacing w:after="0"/>
      </w:pPr>
    </w:p>
    <w:p>
      <w:pPr>
        <w:pStyle w:val="Heading1"/>
      </w:pPr>
      <w:r>
        <w:t>7. Sequenza raccomandata</w:t>
      </w:r>
    </w:p>
    <w:p>
      <w:pPr>
        <w:pStyle w:val="ListNumber"/>
      </w:pPr>
      <w:r>
        <w:t>PoC locale su Arbitrum.</w:t>
      </w:r>
    </w:p>
    <w:p>
      <w:pPr>
        <w:pStyle w:val="ListNumber"/>
      </w:pPr>
      <w:r>
        <w:t>Tre protocolli e accounting ERC-4626 consolidati.</w:t>
      </w:r>
    </w:p>
    <w:p>
      <w:pPr>
        <w:pStyle w:val="ListNumber"/>
      </w:pPr>
      <w:r>
        <w:t>Deployment indipendenti su altre chain EVM.</w:t>
      </w:r>
    </w:p>
    <w:p>
      <w:pPr>
        <w:pStyle w:val="ListNumber"/>
      </w:pPr>
      <w:r>
        <w:t>Vault composability sulla stessa chain.</w:t>
      </w:r>
    </w:p>
    <w:p>
      <w:pPr>
        <w:pStyle w:val="ListNumber"/>
      </w:pPr>
      <w:r>
        <w:t>Solamente dopo: share cross-chain e relative queue.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5"/>
      </w:rPr>
      <w:t>Documento di lavoro — decisioni da validare tramite codice, test, audit e governance.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6"/>
      </w:rPr>
      <w:t>Jethos Protocol · Documentazione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6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C659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0F6B6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ethosCallout">
    <w:name w:val="Jethos Callout"/>
    <w:pPr>
      <w:spacing w:before="120" w:after="140"/>
      <w:ind w:left="317" w:right="317"/>
    </w:pPr>
    <w:rPr>
      <w:rFonts w:ascii="Aptos" w:hAnsi="Aptos"/>
      <w:color w:val="17365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