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Protocol Documentation Pack</w:t>
      </w:r>
    </w:p>
    <w:p>
      <w:pPr>
        <w:pStyle w:val="Subtitle"/>
        <w:jc w:val="center"/>
      </w:pPr>
      <w:r>
        <w:t>Documento unico consolidato v0.1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r>
        <w:t>Questo documento unico sintetizza e collega i documenti tematici separati. Per le domande future complete fare riferimento al documento 11.</w:t>
      </w:r>
    </w:p>
    <w:p>
      <w:pPr>
        <w:pStyle w:val="Heading1"/>
      </w:pPr>
      <w:r>
        <w:t>Parte I — Visione e principi</w:t>
      </w:r>
    </w:p>
    <w:p>
      <w:pPr>
        <w:pStyle w:val="Heading2"/>
      </w:pPr>
      <w:r>
        <w:t>Missione</w:t>
      </w:r>
    </w:p>
    <w:p>
      <w:r>
        <w:t>Jethos rende semplice la proprietà diretta e l’investimento in DeFi, con un’esperienza familiare e trasparente.</w:t>
      </w:r>
    </w:p>
    <w:p>
      <w:pPr>
        <w:pStyle w:val="Heading2"/>
      </w:pPr>
      <w:r>
        <w:t>Principio base asset</w:t>
      </w:r>
    </w:p>
    <w:p>
      <w:r>
        <w:t>Il vault mira a preservare e accrescere il capitale espresso nel proprio base asset, mantenendo entro limiti prestabiliti le esposizioni nette verso asset diversi dal base asset.</w:t>
      </w:r>
    </w:p>
    <w:p>
      <w:pPr>
        <w:pStyle w:val="Heading2"/>
      </w:pPr>
      <w:r>
        <w:t>Poteri sui fondi</w:t>
      </w:r>
    </w:p>
    <w:p>
      <w:r>
        <w:t>Jethos può utilizzare esclusivamente i fondi che l’utente ha depositato esplicitamente in un vault e soltanto verso contratti, plugin, protocolli, mercati, token e vault previamente autorizzati. Nessuna chiave operativa può trasferire arbitrariamente il capitale verso destinatari liberi.</w:t>
      </w:r>
    </w:p>
    <w:p>
      <w:pPr>
        <w:pStyle w:val="Heading2"/>
      </w:pPr>
      <w:r>
        <w:t>Allocazione</w:t>
      </w:r>
    </w:p>
    <w:p>
      <w:r>
        <w:t>L’automazione sceglie l’allocazione con il miglior rendimento netto corretto per rischio tra strategie, mercati e protocolli già autorizzati.</w:t>
      </w:r>
    </w:p>
    <w:p>
      <w:pPr>
        <w:pStyle w:val="Heading2"/>
      </w:pPr>
      <w:r>
        <w:t>Modello</w:t>
      </w:r>
    </w:p>
    <w:p>
      <w:r>
        <w:t>Core DeFi ora; wallet, pagamenti e servizi regolamentati progressivamente tramite partner.</w:t>
      </w:r>
    </w:p>
    <w:p>
      <w:pPr>
        <w:pStyle w:val="Heading1"/>
      </w:pPr>
      <w:r>
        <w:t>Parte II — Prodotto</w:t>
      </w:r>
    </w:p>
    <w:p>
      <w:pPr>
        <w:pStyle w:val="Heading2"/>
      </w:pPr>
      <w:r>
        <w:t>Profili</w:t>
      </w:r>
    </w:p>
    <w:p>
      <w:r>
        <w:t>Conservativo, Bilanciato e Avanzato, sostenuti da parametri quantitativi.</w:t>
      </w:r>
    </w:p>
    <w:p>
      <w:pPr>
        <w:pStyle w:val="Heading2"/>
      </w:pPr>
      <w:r>
        <w:t>Famiglie</w:t>
      </w:r>
    </w:p>
    <w:p>
      <w:r>
        <w:t>USDC/stablecoin, ETH/WETH e BTC/WBTC.</w:t>
      </w:r>
    </w:p>
    <w:p>
      <w:pPr>
        <w:pStyle w:val="Heading2"/>
      </w:pPr>
      <w:r>
        <w:t>Piramide</w:t>
      </w:r>
    </w:p>
    <w:p>
      <w:r>
        <w:t>Vault base, strategie composte, general vault e top-level, organizzati come DAG.</w:t>
      </w:r>
    </w:p>
    <w:p>
      <w:pPr>
        <w:pStyle w:val="Heading2"/>
      </w:pPr>
      <w:r>
        <w:t>Ecosistema</w:t>
      </w:r>
    </w:p>
    <w:p>
      <w:r>
        <w:t>Ufficiale e curato; possibile sandbox permissionless futura.</w:t>
      </w:r>
    </w:p>
    <w:p>
      <w:pPr>
        <w:pStyle w:val="Heading1"/>
      </w:pPr>
      <w:r>
        <w:t>Parte III — Architettura</w:t>
      </w:r>
    </w:p>
    <w:p>
      <w:pPr>
        <w:pStyle w:val="Heading2"/>
      </w:pPr>
      <w:r>
        <w:t>Core</w:t>
      </w:r>
    </w:p>
    <w:p>
      <w:r>
        <w:t>Solo ERC-20, BASE_ASSET configurabile, deployment EVM separati.</w:t>
      </w:r>
    </w:p>
    <w:p>
      <w:pPr>
        <w:pStyle w:val="Heading2"/>
      </w:pPr>
      <w:r>
        <w:t>Plugin</w:t>
      </w:r>
    </w:p>
    <w:p>
      <w:r>
        <w:t>Registry + Plugin + LensAdapter; Aave, Morpho ed Euler già integrati secondo le fonti.</w:t>
      </w:r>
    </w:p>
    <w:p>
      <w:pPr>
        <w:pStyle w:val="Heading2"/>
      </w:pPr>
      <w:r>
        <w:t>Backend</w:t>
      </w:r>
    </w:p>
    <w:p>
      <w:r>
        <w:t>Calcolo complesso off-chain; hard limit e destinazioni autorizzate on-chain.</w:t>
      </w:r>
    </w:p>
    <w:p>
      <w:pPr>
        <w:pStyle w:val="Heading2"/>
      </w:pPr>
      <w:r>
        <w:t>Keeper</w:t>
      </w:r>
    </w:p>
    <w:p>
      <w:r>
        <w:t>Due istanze, provider differenti, chiavi limitate, multisig e guardian.</w:t>
      </w:r>
    </w:p>
    <w:p>
      <w:pPr>
        <w:pStyle w:val="Heading1"/>
      </w:pPr>
      <w:r>
        <w:t>Parte IV — Accounting</w:t>
      </w:r>
    </w:p>
    <w:p>
      <w:pPr>
        <w:pStyle w:val="Heading2"/>
      </w:pPr>
      <w:r>
        <w:t>Share</w:t>
      </w:r>
    </w:p>
    <w:p>
      <w:r>
        <w:t>ERC-4626, 18 decimali, prezzo espresso nel base asset.</w:t>
      </w:r>
    </w:p>
    <w:p>
      <w:pPr>
        <w:pStyle w:val="Heading2"/>
      </w:pPr>
      <w:r>
        <w:t>Reward</w:t>
      </w:r>
    </w:p>
    <w:p>
      <w:r>
        <w:t>Claim, conversione nel base asset e reinvestimento.</w:t>
      </w:r>
    </w:p>
    <w:p>
      <w:pPr>
        <w:pStyle w:val="Heading2"/>
      </w:pPr>
      <w:r>
        <w:t>Donazioni</w:t>
      </w:r>
    </w:p>
    <w:p>
      <w:r>
        <w:t>Aumentano totalAssets; virtual accounting e protezioni anti-inflation.</w:t>
      </w:r>
    </w:p>
    <w:p>
      <w:pPr>
        <w:pStyle w:val="Heading2"/>
      </w:pPr>
      <w:r>
        <w:t>Queue</w:t>
      </w:r>
    </w:p>
    <w:p>
      <w:r>
        <w:t>ERC-7540 futuro, epoche pro-rata; ERC-7887 considerato per cancellazioni.</w:t>
      </w:r>
    </w:p>
    <w:p>
      <w:pPr>
        <w:pStyle w:val="Heading1"/>
      </w:pPr>
      <w:r>
        <w:t>Parte V — Rischio</w:t>
      </w:r>
    </w:p>
    <w:p>
      <w:pPr>
        <w:pStyle w:val="Heading2"/>
      </w:pPr>
      <w:r>
        <w:t>Scoring</w:t>
      </w:r>
    </w:p>
    <w:p>
      <w:r>
        <w:t>Smart contract, protocollo, mercato, oracle, asset, debito, strategia, chain e operativo.</w:t>
      </w:r>
    </w:p>
    <w:p>
      <w:pPr>
        <w:pStyle w:val="Heading2"/>
      </w:pPr>
      <w:r>
        <w:t>Concentrazione</w:t>
      </w:r>
    </w:p>
    <w:p>
      <w:r>
        <w:t>Cap provvisori ≤20%, inferiori nei profili prudenti e dipendenti dalla liquidità.</w:t>
      </w:r>
    </w:p>
    <w:p>
      <w:pPr>
        <w:pStyle w:val="Heading2"/>
      </w:pPr>
      <w:r>
        <w:t>Emergenza</w:t>
      </w:r>
    </w:p>
    <w:p>
      <w:r>
        <w:t>Pause granulari, deleverage, revoke allowance e loss budget provvisori.</w:t>
      </w:r>
    </w:p>
    <w:p>
      <w:pPr>
        <w:pStyle w:val="Heading1"/>
      </w:pPr>
      <w:r>
        <w:t>Parte VI — Primo PoC</w:t>
      </w:r>
    </w:p>
    <w:p>
      <w:pPr>
        <w:pStyle w:val="Heading2"/>
      </w:pPr>
      <w:r>
        <w:t>1A</w:t>
      </w:r>
    </w:p>
    <w:p>
      <w:r>
        <w:t>USDC Conservativo Arbitrum, supply-only, Aave/Morpho/Euler, 100 USDC.</w:t>
      </w:r>
    </w:p>
    <w:p>
      <w:pPr>
        <w:pStyle w:val="Heading2"/>
      </w:pPr>
      <w:r>
        <w:t>Riserve</w:t>
      </w:r>
    </w:p>
    <w:p>
      <w:r>
        <w:t>35% minimo, 45% target, 55% massimo.</w:t>
      </w:r>
    </w:p>
    <w:p>
      <w:pPr>
        <w:pStyle w:val="Heading2"/>
      </w:pPr>
      <w:r>
        <w:t>Fee</w:t>
      </w:r>
    </w:p>
    <w:p>
      <w:r>
        <w:t>0,10% deposito; altre fee zero nel PoC.</w:t>
      </w:r>
    </w:p>
    <w:p>
      <w:pPr>
        <w:pStyle w:val="Heading2"/>
      </w:pPr>
      <w:r>
        <w:t>Obiettivo</w:t>
      </w:r>
    </w:p>
    <w:p>
      <w:r>
        <w:t>2–3% annuo netto sul NAV se compatibile con rischio e mercato.</w:t>
      </w:r>
    </w:p>
    <w:p>
      <w:pPr>
        <w:pStyle w:val="Heading2"/>
      </w:pPr>
      <w:r>
        <w:t>Successive</w:t>
      </w:r>
    </w:p>
    <w:p>
      <w:r>
        <w:t>1B borrowing; 1C ETH/BTC/LST e strategie coperte.</w:t>
      </w:r>
    </w:p>
    <w:p>
      <w:pPr>
        <w:pStyle w:val="Heading1"/>
      </w:pPr>
      <w:r>
        <w:t>Decisioni provvisorie principali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Proposta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Conservativo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Leva max 1,10x; debt ratio 10%; HF target/rebalance/emergenza 2,2/2,0/1,8.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Cap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Protocollo 15%, mercato 10%, quota mercato 5% nel Conservativo.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Loss budget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0,10% ordinario; 0,50% emergency automation; 2% multisig.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Upgrade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Immediato nel PoC; timelock e migrazione nel prodotto maturo.</w:t>
            </w:r>
          </w:p>
        </w:tc>
      </w:tr>
    </w:tbl>
    <w:p>
      <w:pPr>
        <w:spacing w:after="0"/>
      </w:pPr>
    </w:p>
    <w:p>
      <w:pPr>
        <w:pStyle w:val="Heading1"/>
      </w:pPr>
      <w:r>
        <w:t>Questioni che non bloccano v0.1 ma bloccano le fasi successive</w:t>
      </w:r>
    </w:p>
    <w:p>
      <w:pPr>
        <w:pStyle w:val="ListBullet"/>
      </w:pPr>
      <w:r>
        <w:t>Parametri definitivi di leva, cap, health factor e loss budget per strategia.</w:t>
      </w:r>
    </w:p>
    <w:p>
      <w:pPr>
        <w:pStyle w:val="ListBullet"/>
      </w:pPr>
      <w:r>
        <w:t>Specifica tecnica del virtual accounting ERC-4626.</w:t>
      </w:r>
    </w:p>
    <w:p>
      <w:pPr>
        <w:pStyle w:val="ListBullet"/>
      </w:pPr>
      <w:r>
        <w:t>Guardian, timelock e firmatari indipendenti.</w:t>
      </w:r>
    </w:p>
    <w:p>
      <w:pPr>
        <w:pStyle w:val="ListBullet"/>
      </w:pPr>
      <w:r>
        <w:t>Strategia di borrowing 1B e percorso di unwind.</w:t>
      </w:r>
    </w:p>
    <w:p>
      <w:pPr>
        <w:pStyle w:val="ListBullet"/>
      </w:pPr>
      <w:r>
        <w:t>Withdrawal queue ERC-7540/7887.</w:t>
      </w:r>
    </w:p>
    <w:p>
      <w:pPr>
        <w:pStyle w:val="ListBullet"/>
      </w:pPr>
      <w:r>
        <w:t>Governance con saldo medio temporale.</w:t>
      </w:r>
    </w:p>
    <w:p>
      <w:pPr>
        <w:pStyle w:val="ListBullet"/>
      </w:pPr>
      <w:r>
        <w:t>Collateralizzazione delle share.</w:t>
      </w:r>
    </w:p>
    <w:p>
      <w:pPr>
        <w:pStyle w:val="ListBullet"/>
      </w:pPr>
      <w:r>
        <w:t>Composabilità e share cross-chain.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