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snapToGrid w:val="0"/>
        <w:spacing w:before="0" w:after="120" w:line="312" w:lineRule="auto"/>
        <w:jc w:val="left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静态模板：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"http://www.jqueryfuns.com/resource/view/1179"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http://www.jqueryfuns.com/resource/view/1179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Oracle数据库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账号：PAICHI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密码：paichi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Redis缓存数据库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2940" w:leftChars="0"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FastDFS文件存储服务器搭建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"https://blog.csdn.net/weixin_44982675/article/details/108381501"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https://blog.csdn.net/weixin_44982675/article/details/108381501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FastDFS拥有很大缺点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文件分布于00/00这种文件目录下，分布根据文件数量和内存分布，无规律，当文件存储过多时，无法区分临时文件和永久文件，因此无法进行删除。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文件上传后，根据时间戳来对文件进行重命名，我觉得这个也不太好。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没有访问加速，造成验证码拼图加载过慢问题。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如有其他方案，会放弃该方案！如果拥有备案域名，可以考虑腾讯云oss、阿里云oss以及七牛云等方案！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472"/>
        <w:gridCol w:w="1511"/>
        <w:gridCol w:w="1474"/>
        <w:gridCol w:w="1472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用料表（Materials）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Main_materials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用料名称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Main_number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用料数量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Materials_flag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用料标志(1.主料。2.辅料)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713"/>
        <w:gridCol w:w="1462"/>
        <w:gridCol w:w="1167"/>
        <w:gridCol w:w="1164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PREPARATION_TIME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准备时间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  <w:tab w:val="left" w:pos="453"/>
              </w:tabs>
              <w:spacing w:line="30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ab/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ab/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cook_time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POPULARITY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人气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DIFFICULTY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难度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INTRODUCTION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简介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  <w:lang w:val="en-US" w:eastAsia="zh-CN"/>
        </w:rPr>
        <w:t>作废，已被用料表代替。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0"/>
        <w:gridCol w:w="1534"/>
        <w:gridCol w:w="1512"/>
        <w:gridCol w:w="1511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食材表_食谱表（food_recipe）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食谱工艺(食谱做法)表（craft）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食谱做法：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18516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口味表（taste）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口味类别：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755005" cy="442849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41770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step_content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步骤内容(每一步的描述)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功效表（EFFECT）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EFFECT_ID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功效表主键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EFFECT_NAME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功效名称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59580" cy="541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397500" cy="472440"/>
            <wp:effectExtent l="0" t="0" r="1270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图片表（PICTURE）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PICTURE_URL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图片表主键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UPLOAD_TIME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图片长传时间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PICTURE_TYPE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图片类型（1 长久文件  2  临时文件）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用户昵称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密码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user_icon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用户头像地址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user_email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用户邮箱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user_sex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用户性别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user_introduction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用户简介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birth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出生年月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  <w:t>已废弃：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strike/>
          <w:dstrike w:val="0"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7875A6"/>
    <w:multiLevelType w:val="singleLevel"/>
    <w:tmpl w:val="387875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1FF0380"/>
    <w:rsid w:val="02C90DAE"/>
    <w:rsid w:val="05380970"/>
    <w:rsid w:val="0778564C"/>
    <w:rsid w:val="083D07F0"/>
    <w:rsid w:val="105E3B74"/>
    <w:rsid w:val="14CB6B18"/>
    <w:rsid w:val="1BC67126"/>
    <w:rsid w:val="1C2C4424"/>
    <w:rsid w:val="1CD54CE6"/>
    <w:rsid w:val="1DD227F2"/>
    <w:rsid w:val="1DEC38DC"/>
    <w:rsid w:val="273A695A"/>
    <w:rsid w:val="28C87B23"/>
    <w:rsid w:val="294C2538"/>
    <w:rsid w:val="2C415EF6"/>
    <w:rsid w:val="30456175"/>
    <w:rsid w:val="34744F64"/>
    <w:rsid w:val="36772279"/>
    <w:rsid w:val="37904708"/>
    <w:rsid w:val="37C52C19"/>
    <w:rsid w:val="3A212854"/>
    <w:rsid w:val="41E9260C"/>
    <w:rsid w:val="42AF70B0"/>
    <w:rsid w:val="434067C1"/>
    <w:rsid w:val="45F70342"/>
    <w:rsid w:val="474B7C9B"/>
    <w:rsid w:val="497C75F3"/>
    <w:rsid w:val="4D3225A9"/>
    <w:rsid w:val="52577061"/>
    <w:rsid w:val="568D20C3"/>
    <w:rsid w:val="58E03250"/>
    <w:rsid w:val="5CD72052"/>
    <w:rsid w:val="625D2EB5"/>
    <w:rsid w:val="62BB040E"/>
    <w:rsid w:val="69F11E1C"/>
    <w:rsid w:val="6BEE6536"/>
    <w:rsid w:val="6EAF13B0"/>
    <w:rsid w:val="71061E72"/>
    <w:rsid w:val="7A3B2499"/>
    <w:rsid w:val="7B3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G</cp:lastModifiedBy>
  <dcterms:modified xsi:type="dcterms:W3CDTF">2020-09-22T02:47:36Z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