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160"/>
        <w:jc w:val="center"/>
      </w:pPr>
      <w:r>
        <w:rPr>
          <w:rFonts w:ascii="Arial" w:cs="Arial" w:eastAsia="Arial" w:hAnsi="Arial"/>
          <w:b/>
          <w:bCs/>
          <w:color w:val="1F4E79"/>
          <w:sz w:val="56"/>
          <w:szCs w:val="56"/>
        </w:rPr>
        <w:t xml:space="preserve">Macro Portfolio Optimizer</w:t>
      </w:r>
    </w:p>
    <w:p>
      <w:pPr>
        <w:spacing w:after="80"/>
        <w:jc w:val="center"/>
      </w:pPr>
      <w:r>
        <w:rPr>
          <w:rFonts w:ascii="Arial" w:cs="Arial" w:eastAsia="Arial" w:hAnsi="Arial"/>
          <w:color w:val="555555"/>
          <w:sz w:val="36"/>
          <w:szCs w:val="36"/>
        </w:rPr>
        <w:t xml:space="preserve">Database Schema Documentation</w:t>
      </w:r>
    </w:p>
    <w:p>
      <w:pPr>
        <w:spacing w:after="600"/>
        <w:jc w:val="center"/>
      </w:pPr>
      <w:r>
        <w:rPr>
          <w:rFonts w:ascii="Arial" w:cs="Arial" w:eastAsia="Arial" w:hAnsi="Arial"/>
          <w:i/>
          <w:iCs/>
          <w:color w:val="888888"/>
          <w:sz w:val="24"/>
          <w:szCs w:val="24"/>
        </w:rPr>
        <w:t xml:space="preserve">Medallion Architecture  |  2NF Design  |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b/>
                <w:bCs/>
                <w:sz w:val="20"/>
                <w:szCs w:val="20"/>
              </w:rPr>
              <w:t xml:space="preserve">Project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Macro Portfolio Optimizer — Capstone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Sponsor</w:t>
            </w:r>
          </w:p>
        </w:tc>
        <w:tc>
          <w:tcPr>
            <w:tcW w:type="dxa" w:w="70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sz w:val="20"/>
                <w:szCs w:val="20"/>
              </w:rPr>
              <w:t xml:space="preserve">Greg</w:t>
            </w:r>
          </w:p>
        </w:tc>
      </w:tr>
      <w:tr>
        <w:tc>
          <w:tcPr>
            <w:tcW w:type="dxa" w:w="234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b/>
                <w:bCs/>
                <w:sz w:val="20"/>
                <w:szCs w:val="20"/>
              </w:rPr>
              <w:t xml:space="preserve">Faculty Partner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Schema Version</w:t>
            </w:r>
          </w:p>
        </w:tc>
        <w:tc>
          <w:tcPr>
            <w:tcW w:type="dxa" w:w="70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June 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Data Window</w:t>
            </w:r>
          </w:p>
        </w:tc>
        <w:tc>
          <w:tcPr>
            <w:tcW w:type="dxa" w:w="70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sz w:val="20"/>
                <w:szCs w:val="20"/>
              </w:rPr>
              <w:t xml:space="preserve">2007-01-01 to present (monthly)</w:t>
            </w:r>
          </w:p>
        </w:tc>
      </w:tr>
      <w:tr>
        <w:tc>
          <w:tcPr>
            <w:tcW w:type="dxa" w:w="2340"/>
            <w:tcBorders>
              <w:top w:val="single" w:color="CCCCCC" w:sz="1"/>
              <w:left w:val="single" w:color="CCCCCC" w:sz="1"/>
              <w:bottom w:val="single" w:color="CCCCCC" w:sz="1"/>
              <w:right w:val="single" w:color="CCCCCC" w:sz="1"/>
            </w:tcBorders>
            <w:shd w:fill="E8F0F7" w:val="clear"/>
            <w:tcMar>
              <w:top w:type="dxa" w:w="80"/>
              <w:left w:type="dxa" w:w="140"/>
              <w:bottom w:type="dxa" w:w="80"/>
              <w:right w:type="dxa" w:w="140"/>
            </w:tcMar>
          </w:tcPr>
          <w:p>
            <w:r>
              <w:rPr>
                <w:rFonts w:ascii="Arial" w:cs="Arial" w:eastAsia="Arial" w:hAnsi="Arial"/>
                <w:b/>
                <w:bCs/>
                <w:sz w:val="20"/>
                <w:szCs w:val="20"/>
              </w:rPr>
              <w:t xml:space="preserve">Assets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ETFs + 1 spliced series (INTL_BOND)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Macro Series</w:t>
            </w:r>
          </w:p>
        </w:tc>
        <w:tc>
          <w:tcPr>
            <w:tcW w:type="dxa" w:w="70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sz w:val="20"/>
                <w:szCs w:val="20"/>
              </w:rPr>
              <w:t xml:space="preserve">ISM Manufacturing, Non-Manufacturing, Composite PMI</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8" w:space="4"/>
        </w:pBdr>
        <w:spacing w:after="180" w:before="360"/>
      </w:pPr>
      <w:r>
        <w:rPr>
          <w:rFonts w:ascii="Arial" w:cs="Arial" w:eastAsia="Arial" w:hAnsi="Arial"/>
          <w:b/>
          <w:bCs/>
          <w:color w:val="000000"/>
          <w:sz w:val="32"/>
          <w:szCs w:val="32"/>
        </w:rPr>
        <w:t xml:space="preserve">1. Overview</w:t>
      </w:r>
    </w:p>
    <w:p>
      <w:pPr>
        <w:spacing w:after="120"/>
      </w:pPr>
      <w:r>
        <w:rPr>
          <w:rFonts w:ascii="Arial" w:cs="Arial" w:eastAsia="Arial" w:hAnsi="Arial"/>
          <w:b w:val="false"/>
          <w:bCs w:val="false"/>
          <w:i w:val="false"/>
          <w:iCs w:val="false"/>
          <w:color w:val="000000"/>
          <w:sz w:val="22"/>
          <w:szCs w:val="22"/>
        </w:rPr>
        <w:t xml:space="preserve">This document defines the complete database schema for the Macro Portfolio Optimizer project. It covers every table, every column, all data types, primary and foreign key relationships, and the rationale for how data flows through the system.</w:t>
      </w:r>
    </w:p>
    <w:p>
      <w:pPr>
        <w:spacing w:after="80"/>
      </w:pPr>
    </w:p>
    <w:p>
      <w:pPr>
        <w:spacing w:after="120"/>
      </w:pPr>
      <w:r>
        <w:rPr>
          <w:rFonts w:ascii="Arial" w:cs="Arial" w:eastAsia="Arial" w:hAnsi="Arial"/>
          <w:b w:val="false"/>
          <w:bCs w:val="false"/>
          <w:i w:val="false"/>
          <w:iCs w:val="false"/>
          <w:color w:val="000000"/>
          <w:sz w:val="22"/>
          <w:szCs w:val="22"/>
        </w:rPr>
        <w:t xml:space="preserve">The schema follows two design principles working together:</w:t>
      </w:r>
    </w:p>
    <w:p>
      <w:pPr>
        <w:pStyle w:val="ListParagraph"/>
        <w:numPr>
          <w:ilvl w:val="0"/>
          <w:numId w:val="2"/>
        </w:numPr>
        <w:spacing w:after="80"/>
      </w:pPr>
      <w:r>
        <w:rPr>
          <w:rFonts w:ascii="Arial" w:cs="Arial" w:eastAsia="Arial" w:hAnsi="Arial"/>
          <w:b w:val="false"/>
          <w:bCs w:val="false"/>
          <w:color w:val="000000"/>
          <w:sz w:val="20"/>
          <w:szCs w:val="20"/>
        </w:rPr>
        <w:t xml:space="preserve">Medallion Architecture — data is organized into three quality layers (Bronze, Silver, Gold), each serving a distinct purpose in the pipeline.</w:t>
      </w:r>
    </w:p>
    <w:p>
      <w:pPr>
        <w:pStyle w:val="ListParagraph"/>
        <w:numPr>
          <w:ilvl w:val="0"/>
          <w:numId w:val="2"/>
        </w:numPr>
        <w:spacing w:after="80"/>
      </w:pPr>
      <w:r>
        <w:rPr>
          <w:rFonts w:ascii="Arial" w:cs="Arial" w:eastAsia="Arial" w:hAnsi="Arial"/>
          <w:b w:val="false"/>
          <w:bCs w:val="false"/>
          <w:color w:val="000000"/>
          <w:sz w:val="20"/>
          <w:szCs w:val="20"/>
        </w:rPr>
        <w:t xml:space="preserve">Second Normal Form (2NF) — every non-key column depends on the whole primary key, not just part of it. This eliminates redundancy and keeps the data consistent.</w:t>
      </w:r>
    </w:p>
    <w:p>
      <w:pPr>
        <w:spacing w:after="160"/>
      </w:pPr>
    </w:p>
    <w:p>
      <w:pPr>
        <w:pStyle w:val="Heading2"/>
        <w:spacing w:after="120" w:before="280"/>
      </w:pPr>
      <w:r>
        <w:rPr>
          <w:rFonts w:ascii="Arial" w:cs="Arial" w:eastAsia="Arial" w:hAnsi="Arial"/>
          <w:b/>
          <w:bCs/>
          <w:color w:val="1F4E79"/>
          <w:sz w:val="26"/>
          <w:szCs w:val="26"/>
        </w:rPr>
        <w:t xml:space="preserve">1.1  What This System Stores</w:t>
      </w:r>
    </w:p>
    <w:p>
      <w:pPr>
        <w:spacing w:after="120"/>
      </w:pPr>
      <w:r>
        <w:rPr>
          <w:rFonts w:ascii="Arial" w:cs="Arial" w:eastAsia="Arial" w:hAnsi="Arial"/>
          <w:b w:val="false"/>
          <w:bCs w:val="false"/>
          <w:i w:val="false"/>
          <w:iCs w:val="false"/>
          <w:color w:val="000000"/>
          <w:sz w:val="22"/>
          <w:szCs w:val="22"/>
        </w:rPr>
        <w:t xml:space="preserve">The optimizer uses two types of data to build and evaluate portfolios:</w:t>
      </w:r>
    </w:p>
    <w:p>
      <w:pPr>
        <w:spacing w:after="80"/>
      </w:pPr>
    </w:p>
    <w:p>
      <w:pPr>
        <w:pStyle w:val="ListParagraph"/>
        <w:numPr>
          <w:ilvl w:val="0"/>
          <w:numId w:val="2"/>
        </w:numPr>
        <w:spacing w:after="80"/>
      </w:pPr>
      <w:r>
        <w:rPr>
          <w:rFonts w:ascii="Arial" w:cs="Arial" w:eastAsia="Arial" w:hAnsi="Arial"/>
          <w:b w:val="false"/>
          <w:bCs w:val="false"/>
          <w:color w:val="000000"/>
          <w:sz w:val="20"/>
          <w:szCs w:val="20"/>
        </w:rPr>
        <w:t xml:space="preserve">Asset return data — monthly price and return history for 10 ETFs spanning US equities, international equities, bonds, and commodities, covering January 2007 to the present day.</w:t>
      </w:r>
    </w:p>
    <w:p>
      <w:pPr>
        <w:pStyle w:val="ListParagraph"/>
        <w:numPr>
          <w:ilvl w:val="0"/>
          <w:numId w:val="2"/>
        </w:numPr>
        <w:spacing w:after="80"/>
      </w:pPr>
      <w:r>
        <w:rPr>
          <w:rFonts w:ascii="Arial" w:cs="Arial" w:eastAsia="Arial" w:hAnsi="Arial"/>
          <w:b w:val="false"/>
          <w:bCs w:val="false"/>
          <w:color w:val="000000"/>
          <w:sz w:val="20"/>
          <w:szCs w:val="20"/>
        </w:rPr>
        <w:t xml:space="preserve">Macro indicator data — monthly PMI (Purchasing Managers Index) readings from the ISM, measuring the health of the US manufacturing and services economy. PMI above 50 signals expansion; below 50 signals contraction.</w:t>
      </w:r>
    </w:p>
    <w:p>
      <w:pPr>
        <w:spacing w:after="160"/>
      </w:pPr>
    </w:p>
    <w:p>
      <w:pPr>
        <w:pStyle w:val="Heading2"/>
        <w:spacing w:after="120" w:before="280"/>
      </w:pPr>
      <w:r>
        <w:rPr>
          <w:rFonts w:ascii="Arial" w:cs="Arial" w:eastAsia="Arial" w:hAnsi="Arial"/>
          <w:b/>
          <w:bCs/>
          <w:color w:val="1F4E79"/>
          <w:sz w:val="26"/>
          <w:szCs w:val="26"/>
        </w:rPr>
        <w:t xml:space="preserve">1.2  Medallion Layer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FFFFFF" w:sz="1"/>
              <w:left w:val="single" w:color="FFFFFF" w:sz="1"/>
              <w:bottom w:val="single" w:color="FFFFFF" w:sz="1"/>
              <w:right w:val="single" w:color="FFFFFF" w:sz="1"/>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Layer</w:t>
            </w:r>
          </w:p>
        </w:tc>
        <w:tc>
          <w:tcPr>
            <w:tcW w:type="dxa" w:w="2200"/>
            <w:tcBorders>
              <w:top w:val="single" w:color="FFFFFF" w:sz="1"/>
              <w:left w:val="single" w:color="FFFFFF" w:sz="1"/>
              <w:bottom w:val="single" w:color="FFFFFF" w:sz="1"/>
              <w:right w:val="single" w:color="FFFFFF" w:sz="1"/>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Tables</w:t>
            </w:r>
          </w:p>
        </w:tc>
        <w:tc>
          <w:tcPr>
            <w:tcW w:type="dxa" w:w="5760"/>
            <w:tcBorders>
              <w:top w:val="single" w:color="FFFFFF" w:sz="1"/>
              <w:left w:val="single" w:color="FFFFFF" w:sz="1"/>
              <w:bottom w:val="single" w:color="FFFFFF" w:sz="1"/>
              <w:right w:val="single" w:color="FFFFFF" w:sz="1"/>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4DCBC" w:val="clear"/>
            <w:tcMar>
              <w:top w:type="dxa" w:w="80"/>
              <w:start w:type="dxa" w:w="120"/>
              <w:bottom w:type="dxa" w:w="80"/>
              <w:end w:type="dxa" w:w="120"/>
            </w:tcMar>
          </w:tcPr>
          <w:p>
            <w:r>
              <w:rPr>
                <w:rFonts w:ascii="Arial" w:cs="Arial" w:eastAsia="Arial" w:hAnsi="Arial"/>
                <w:b/>
                <w:bCs/>
                <w:color w:val="8B4513"/>
                <w:sz w:val="20"/>
                <w:szCs w:val="20"/>
              </w:rPr>
              <w:t xml:space="preserve">BRONZE</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i/>
                <w:iCs/>
                <w:sz w:val="18"/>
                <w:szCs w:val="18"/>
              </w:rPr>
              <w:t xml:space="preserve">bronze_prices_raw, bronze_pmi_manufacturing, bronze_pmi_nonmanufacturing</w:t>
            </w:r>
          </w:p>
        </w:tc>
        <w:tc>
          <w:tcPr>
            <w:tcW w:type="dxa" w:w="5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18"/>
                <w:szCs w:val="18"/>
              </w:rPr>
              <w:t xml:space="preserve">Raw data as ingested from yfinance and ISM. No transformations. Preserved exactly as received.</w:t>
            </w:r>
          </w:p>
        </w:tc>
      </w:tr>
      <w:tr>
        <w:tc>
          <w:tcPr>
            <w:tcW w:type="dxa" w:w="1400"/>
            <w:tcBorders>
              <w:top w:val="single" w:color="CCCCCC" w:sz="1"/>
              <w:left w:val="single" w:color="CCCCCC" w:sz="1"/>
              <w:bottom w:val="single" w:color="CCCCCC" w:sz="1"/>
              <w:right w:val="single" w:color="CCCCCC" w:sz="1"/>
            </w:tcBorders>
            <w:shd w:fill="DCE6F1" w:val="clear"/>
            <w:tcMar>
              <w:top w:type="dxa" w:w="80"/>
              <w:start w:type="dxa" w:w="120"/>
              <w:bottom w:type="dxa" w:w="80"/>
              <w:end w:type="dxa" w:w="120"/>
            </w:tcMar>
          </w:tcPr>
          <w:p>
            <w:r>
              <w:rPr>
                <w:rFonts w:ascii="Arial" w:cs="Arial" w:eastAsia="Arial" w:hAnsi="Arial"/>
                <w:b/>
                <w:bCs/>
                <w:color w:val="708090"/>
                <w:sz w:val="20"/>
                <w:szCs w:val="20"/>
              </w:rPr>
              <w:t xml:space="preserve">SILVER</w:t>
            </w:r>
          </w:p>
        </w:tc>
        <w:tc>
          <w:tcPr>
            <w:tcW w:type="dxa" w:w="2200"/>
            <w:tcBorders>
              <w:top w:val="single" w:color="CCCCCC" w:sz="1"/>
              <w:left w:val="single" w:color="CCCCCC" w:sz="1"/>
              <w:bottom w:val="single" w:color="CCCCCC" w:sz="1"/>
              <w:right w:val="single" w:color="CCCCCC" w:sz="1"/>
            </w:tcBorders>
            <w:shd w:fill="FAFAFA" w:val="clear"/>
            <w:tcMar>
              <w:top w:type="dxa" w:w="80"/>
              <w:start w:type="dxa" w:w="120"/>
              <w:bottom w:type="dxa" w:w="80"/>
              <w:end w:type="dxa" w:w="120"/>
            </w:tcMar>
          </w:tcPr>
          <w:p>
            <w:r>
              <w:rPr>
                <w:rFonts w:ascii="Arial" w:cs="Arial" w:eastAsia="Arial" w:hAnsi="Arial"/>
                <w:i/>
                <w:iCs/>
                <w:sz w:val="18"/>
                <w:szCs w:val="18"/>
              </w:rPr>
              <w:t xml:space="preserve">silver_prices, silver_pmi_composite, silver_returns_full, silver_data_quality</w:t>
            </w:r>
          </w:p>
        </w:tc>
        <w:tc>
          <w:tcPr>
            <w:tcW w:type="dxa" w:w="5760"/>
            <w:tcBorders>
              <w:top w:val="single" w:color="CCCCCC" w:sz="1"/>
              <w:left w:val="single" w:color="CCCCCC" w:sz="1"/>
              <w:bottom w:val="single" w:color="CCCCCC" w:sz="1"/>
              <w:right w:val="single" w:color="CCCCCC" w:sz="1"/>
            </w:tcBorders>
            <w:shd w:fill="FAFAFA" w:val="clear"/>
            <w:tcMar>
              <w:top w:type="dxa" w:w="80"/>
              <w:start w:type="dxa" w:w="120"/>
              <w:bottom w:type="dxa" w:w="80"/>
              <w:end w:type="dxa" w:w="120"/>
            </w:tcMar>
          </w:tcPr>
          <w:p>
            <w:r>
              <w:rPr>
                <w:rFonts w:ascii="Arial" w:cs="Arial" w:eastAsia="Arial" w:hAnsi="Arial"/>
                <w:sz w:val="18"/>
                <w:szCs w:val="18"/>
              </w:rPr>
              <w:t xml:space="preserve">Cleaned, typed, validated, and joined data. Splices applied. Quality flags attached. Still granular (one row per date per asset).</w:t>
            </w:r>
          </w:p>
        </w:tc>
      </w:tr>
      <w:tr>
        <w:tc>
          <w:tcPr>
            <w:tcW w:type="dxa" w:w="1400"/>
            <w:tcBorders>
              <w:top w:val="single" w:color="CCCCCC" w:sz="1"/>
              <w:left w:val="single" w:color="CCCCCC" w:sz="1"/>
              <w:bottom w:val="single" w:color="CCCCCC" w:sz="1"/>
              <w:right w:val="single" w:color="CCCCCC" w:sz="1"/>
            </w:tcBorders>
            <w:shd w:fill="FFF2CC" w:val="clear"/>
            <w:tcMar>
              <w:top w:type="dxa" w:w="80"/>
              <w:start w:type="dxa" w:w="120"/>
              <w:bottom w:type="dxa" w:w="80"/>
              <w:end w:type="dxa" w:w="120"/>
            </w:tcMar>
          </w:tcPr>
          <w:p>
            <w:r>
              <w:rPr>
                <w:rFonts w:ascii="Arial" w:cs="Arial" w:eastAsia="Arial" w:hAnsi="Arial"/>
                <w:b/>
                <w:bCs/>
                <w:color w:val="B8860B"/>
                <w:sz w:val="20"/>
                <w:szCs w:val="20"/>
              </w:rPr>
              <w:t xml:space="preserve">GOLD</w:t>
            </w:r>
          </w:p>
        </w:tc>
        <w:tc>
          <w:tcPr>
            <w:tcW w:type="dxa" w:w="220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i/>
                <w:iCs/>
                <w:sz w:val="18"/>
                <w:szCs w:val="18"/>
              </w:rPr>
              <w:t xml:space="preserve">gold_returns_aligned, gold_summary_stats</w:t>
            </w:r>
          </w:p>
        </w:tc>
        <w:tc>
          <w:tcPr>
            <w:tcW w:type="dxa" w:w="5760"/>
            <w:tcBorders>
              <w:top w:val="single" w:color="CCCCCC" w:sz="1"/>
              <w:left w:val="single" w:color="CCCCCC" w:sz="1"/>
              <w:bottom w:val="single" w:color="CCCCCC" w:sz="1"/>
              <w:right w:val="single" w:color="CCCCCC" w:sz="1"/>
            </w:tcBorders>
            <w:shd w:fill="FFFFFF" w:val="clear"/>
            <w:tcMar>
              <w:top w:type="dxa" w:w="80"/>
              <w:start w:type="dxa" w:w="120"/>
              <w:bottom w:type="dxa" w:w="80"/>
              <w:end w:type="dxa" w:w="120"/>
            </w:tcMar>
          </w:tcPr>
          <w:p>
            <w:r>
              <w:rPr>
                <w:rFonts w:ascii="Arial" w:cs="Arial" w:eastAsia="Arial" w:hAnsi="Arial"/>
                <w:sz w:val="18"/>
                <w:szCs w:val="18"/>
              </w:rPr>
              <w:t xml:space="preserve">Analysis-ready, aggregated output. Aligned to a common date window with no NULLs. What the optimizer and dashboards consume.</w:t>
            </w:r>
          </w:p>
        </w:tc>
      </w:tr>
      <w:tr>
        <w:tc>
          <w:tcPr>
            <w:tcW w:type="dxa" w:w="1400"/>
            <w:tcBorders>
              <w:top w:val="single" w:color="CCCCCC" w:sz="1"/>
              <w:left w:val="single" w:color="CCCCCC" w:sz="1"/>
              <w:bottom w:val="single" w:color="CCCCCC" w:sz="1"/>
              <w:right w:val="single" w:color="CCCCCC" w:sz="1"/>
            </w:tcBorders>
            <w:shd w:fill="EDE7F6" w:val="clear"/>
            <w:tcMar>
              <w:top w:type="dxa" w:w="80"/>
              <w:start w:type="dxa" w:w="120"/>
              <w:bottom w:type="dxa" w:w="80"/>
              <w:end w:type="dxa" w:w="120"/>
            </w:tcMar>
          </w:tcPr>
          <w:p>
            <w:r>
              <w:rPr>
                <w:rFonts w:ascii="Arial" w:cs="Arial" w:eastAsia="Arial" w:hAnsi="Arial"/>
                <w:b/>
                <w:bCs/>
                <w:color w:val="4B0082"/>
                <w:sz w:val="20"/>
                <w:szCs w:val="20"/>
              </w:rPr>
              <w:t xml:space="preserve">DIM</w:t>
            </w:r>
          </w:p>
        </w:tc>
        <w:tc>
          <w:tcPr>
            <w:tcW w:type="dxa" w:w="2200"/>
            <w:tcBorders>
              <w:top w:val="single" w:color="CCCCCC" w:sz="1"/>
              <w:left w:val="single" w:color="CCCCCC" w:sz="1"/>
              <w:bottom w:val="single" w:color="CCCCCC" w:sz="1"/>
              <w:right w:val="single" w:color="CCCCCC" w:sz="1"/>
            </w:tcBorders>
            <w:shd w:fill="FAFAFA" w:val="clear"/>
            <w:tcMar>
              <w:top w:type="dxa" w:w="80"/>
              <w:start w:type="dxa" w:w="120"/>
              <w:bottom w:type="dxa" w:w="80"/>
              <w:end w:type="dxa" w:w="120"/>
            </w:tcMar>
          </w:tcPr>
          <w:p>
            <w:r>
              <w:rPr>
                <w:rFonts w:ascii="Arial" w:cs="Arial" w:eastAsia="Arial" w:hAnsi="Arial"/>
                <w:i/>
                <w:iCs/>
                <w:sz w:val="18"/>
                <w:szCs w:val="18"/>
              </w:rPr>
              <w:t xml:space="preserve">dim_asset, dim_splice_candidates</w:t>
            </w:r>
          </w:p>
        </w:tc>
        <w:tc>
          <w:tcPr>
            <w:tcW w:type="dxa" w:w="5760"/>
            <w:tcBorders>
              <w:top w:val="single" w:color="CCCCCC" w:sz="1"/>
              <w:left w:val="single" w:color="CCCCCC" w:sz="1"/>
              <w:bottom w:val="single" w:color="CCCCCC" w:sz="1"/>
              <w:right w:val="single" w:color="CCCCCC" w:sz="1"/>
            </w:tcBorders>
            <w:shd w:fill="FAFAFA" w:val="clear"/>
            <w:tcMar>
              <w:top w:type="dxa" w:w="80"/>
              <w:start w:type="dxa" w:w="120"/>
              <w:bottom w:type="dxa" w:w="80"/>
              <w:end w:type="dxa" w:w="120"/>
            </w:tcMar>
          </w:tcPr>
          <w:p>
            <w:r>
              <w:rPr>
                <w:rFonts w:ascii="Arial" w:cs="Arial" w:eastAsia="Arial" w:hAnsi="Arial"/>
                <w:sz w:val="18"/>
                <w:szCs w:val="18"/>
              </w:rPr>
              <w:t xml:space="preserve">Lookup/dimension tables. Define what each asset is and document the splice methodology. Referenced by FK across all layers.</w:t>
            </w:r>
          </w:p>
        </w:tc>
      </w:tr>
    </w:tbl>
    <w:p>
      <w:r>
        <w:br w:type="page"/>
      </w:r>
    </w:p>
    <w:p>
      <w:pPr>
        <w:pStyle w:val="Heading1"/>
        <w:pBdr>
          <w:bottom w:val="single" w:color="1F4E79" w:sz="8" w:space="4"/>
        </w:pBdr>
        <w:spacing w:after="180" w:before="360"/>
      </w:pPr>
      <w:r>
        <w:rPr>
          <w:rFonts w:ascii="Arial" w:cs="Arial" w:eastAsia="Arial" w:hAnsi="Arial"/>
          <w:b/>
          <w:bCs/>
          <w:color w:val="000000"/>
          <w:sz w:val="32"/>
          <w:szCs w:val="32"/>
        </w:rPr>
        <w:t xml:space="preserve">2. Why 2NF and How It Applies Here</w:t>
      </w:r>
    </w:p>
    <w:p>
      <w:pPr>
        <w:spacing w:after="120"/>
      </w:pPr>
      <w:r>
        <w:rPr>
          <w:rFonts w:ascii="Arial" w:cs="Arial" w:eastAsia="Arial" w:hAnsi="Arial"/>
          <w:b w:val="false"/>
          <w:bCs w:val="false"/>
          <w:i w:val="false"/>
          <w:iCs w:val="false"/>
          <w:color w:val="000000"/>
          <w:sz w:val="22"/>
          <w:szCs w:val="22"/>
        </w:rPr>
        <w:t xml:space="preserve">Second Normal Form (2NF) requires that a table is in First Normal Form (1NF) — meaning each cell holds one value — AND that every non-key column depends on the entire primary key, not just part of it.</w:t>
      </w:r>
    </w:p>
    <w:p>
      <w:pPr>
        <w:spacing w:after="80"/>
      </w:pPr>
    </w:p>
    <w:p>
      <w:pPr>
        <w:spacing w:after="120"/>
      </w:pPr>
      <w:r>
        <w:rPr>
          <w:rFonts w:ascii="Arial" w:cs="Arial" w:eastAsia="Arial" w:hAnsi="Arial"/>
          <w:b w:val="false"/>
          <w:bCs w:val="false"/>
          <w:i w:val="false"/>
          <w:iCs w:val="false"/>
          <w:color w:val="000000"/>
          <w:sz w:val="22"/>
          <w:szCs w:val="22"/>
        </w:rPr>
        <w:t xml:space="preserve">Most tables in this schema have composite primary keys (both a date and a ticker). The 2NF rule means you cannot store something that only depends on the ticker in a table keyed by (date, ticker). For example, storing the asset label alongside each monthly return would violate 2NF, because the label depends only on the ticker, not the date.</w:t>
      </w:r>
    </w:p>
    <w:p>
      <w:pPr>
        <w:spacing w:after="80"/>
      </w:pPr>
    </w:p>
    <w:p>
      <w:pPr>
        <w:spacing w:after="120"/>
      </w:pPr>
      <w:r>
        <w:rPr>
          <w:rFonts w:ascii="Arial" w:cs="Arial" w:eastAsia="Arial" w:hAnsi="Arial"/>
          <w:b w:val="false"/>
          <w:bCs w:val="false"/>
          <w:i w:val="false"/>
          <w:iCs w:val="false"/>
          <w:color w:val="000000"/>
          <w:sz w:val="22"/>
          <w:szCs w:val="22"/>
        </w:rPr>
        <w:t xml:space="preserve">The main move to achieve 2NF here was extracting dim_asset: asset metadata (label, asset class, region, inception date) lives in its own table keyed only by ticker. Every other table references ticker as a foreign key rather than repeating those descriptions. Similarly, dim_splice_candidates isolates all the splice analysis data, keeping it out of the returns tables.</w:t>
      </w:r>
    </w:p>
    <w:p>
      <w:pPr>
        <w:spacing w:after="160"/>
      </w:pPr>
    </w:p>
    <w:p>
      <w:pPr>
        <w:spacing w:after="120"/>
      </w:pPr>
      <w:r>
        <w:rPr>
          <w:rFonts w:ascii="Arial" w:cs="Arial" w:eastAsia="Arial" w:hAnsi="Arial"/>
          <w:b w:val="false"/>
          <w:bCs w:val="false"/>
          <w:i w:val="false"/>
          <w:iCs w:val="false"/>
          <w:color w:val="000000"/>
          <w:sz w:val="22"/>
          <w:szCs w:val="22"/>
        </w:rPr>
        <w:t xml:space="preserve">Key relationships in plain language:</w:t>
      </w:r>
    </w:p>
    <w:p>
      <w:pPr>
        <w:pStyle w:val="ListParagraph"/>
        <w:numPr>
          <w:ilvl w:val="0"/>
          <w:numId w:val="2"/>
        </w:numPr>
        <w:spacing w:after="80"/>
      </w:pPr>
      <w:r>
        <w:rPr>
          <w:rFonts w:ascii="Arial" w:cs="Arial" w:eastAsia="Arial" w:hAnsi="Arial"/>
          <w:b w:val="false"/>
          <w:bCs w:val="false"/>
          <w:color w:val="000000"/>
          <w:sz w:val="20"/>
          <w:szCs w:val="20"/>
        </w:rPr>
        <w:t xml:space="preserve">dim_asset is the anchor — every table that holds asset data references dim_asset.ticker as a foreign key.</w:t>
      </w:r>
    </w:p>
    <w:p>
      <w:pPr>
        <w:pStyle w:val="ListParagraph"/>
        <w:numPr>
          <w:ilvl w:val="0"/>
          <w:numId w:val="2"/>
        </w:numPr>
        <w:spacing w:after="80"/>
      </w:pPr>
      <w:r>
        <w:rPr>
          <w:rFonts w:ascii="Arial" w:cs="Arial" w:eastAsia="Arial" w:hAnsi="Arial"/>
          <w:b w:val="false"/>
          <w:bCs w:val="false"/>
          <w:color w:val="000000"/>
          <w:sz w:val="20"/>
          <w:szCs w:val="20"/>
        </w:rPr>
        <w:t xml:space="preserve">bronze_* tables have no foreign keys — they are raw ingestion and do not enforce relationships.</w:t>
      </w:r>
    </w:p>
    <w:p>
      <w:pPr>
        <w:pStyle w:val="ListParagraph"/>
        <w:numPr>
          <w:ilvl w:val="0"/>
          <w:numId w:val="2"/>
        </w:numPr>
        <w:spacing w:after="80"/>
      </w:pPr>
      <w:r>
        <w:rPr>
          <w:rFonts w:ascii="Arial" w:cs="Arial" w:eastAsia="Arial" w:hAnsi="Arial"/>
          <w:b w:val="false"/>
          <w:bCs w:val="false"/>
          <w:color w:val="000000"/>
          <w:sz w:val="20"/>
          <w:szCs w:val="20"/>
        </w:rPr>
        <w:t xml:space="preserve">silver_* and gold_* tables reference dim_asset.ticker as FK, guaranteeing that only known, defined assets can appear in clean and analysis-ready data.</w:t>
      </w:r>
    </w:p>
    <w:p>
      <w:pPr>
        <w:pStyle w:val="ListParagraph"/>
        <w:numPr>
          <w:ilvl w:val="0"/>
          <w:numId w:val="2"/>
        </w:numPr>
        <w:spacing w:after="80"/>
      </w:pPr>
      <w:r>
        <w:rPr>
          <w:rFonts w:ascii="Arial" w:cs="Arial" w:eastAsia="Arial" w:hAnsi="Arial"/>
          <w:b w:val="false"/>
          <w:bCs w:val="false"/>
          <w:color w:val="000000"/>
          <w:sz w:val="20"/>
          <w:szCs w:val="20"/>
        </w:rPr>
        <w:t xml:space="preserve">PMI tables are independent — they are keyed only by date and do not join to dim_asset (macro data is economy-wide, not asset-specific).</w:t>
      </w:r>
    </w:p>
    <w:p>
      <w:r>
        <w:br w:type="page"/>
      </w:r>
    </w:p>
    <w:p>
      <w:pPr>
        <w:spacing w:after="0" w:before="240"/>
      </w:pPr>
      <w:r>
        <w:rPr>
          <w:rFonts w:ascii="Arial" w:cs="Arial" w:eastAsia="Arial" w:hAnsi="Arial"/>
          <w:b/>
          <w:bCs/>
          <w:color w:val="8B4513"/>
          <w:sz w:val="28"/>
          <w:szCs w:val="28"/>
        </w:rPr>
        <w:t xml:space="preserve">3.  BRONZE LAYER — Raw Ingestion</w:t>
      </w:r>
    </w:p>
    <w:p>
      <w:pPr>
        <w:spacing w:after="80"/>
      </w:pPr>
    </w:p>
    <w:p>
      <w:pPr>
        <w:spacing w:after="120"/>
      </w:pPr>
      <w:r>
        <w:rPr>
          <w:rFonts w:ascii="Arial" w:cs="Arial" w:eastAsia="Arial" w:hAnsi="Arial"/>
          <w:b w:val="false"/>
          <w:bCs w:val="false"/>
          <w:i w:val="false"/>
          <w:iCs w:val="false"/>
          <w:color w:val="000000"/>
          <w:sz w:val="22"/>
          <w:szCs w:val="22"/>
        </w:rPr>
        <w:t xml:space="preserve">The Bronze layer stores data exactly as it arrives from the source. No calculations, no joins, no cleaning. If the source has quirks (like BWX disappearing after 2013), Bronze preserves that quirk faithfully. The purpose is to have an immutable record you can always replay from.</w:t>
      </w:r>
    </w:p>
    <w:p>
      <w:pPr>
        <w:spacing w:after="120"/>
      </w:pPr>
    </w:p>
    <w:p>
      <w:pPr>
        <w:pStyle w:val="Heading2"/>
        <w:spacing w:after="120" w:before="280"/>
      </w:pPr>
      <w:r>
        <w:rPr>
          <w:rFonts w:ascii="Arial" w:cs="Arial" w:eastAsia="Arial" w:hAnsi="Arial"/>
          <w:b/>
          <w:bCs/>
          <w:color w:val="8B4513"/>
          <w:sz w:val="26"/>
          <w:szCs w:val="26"/>
        </w:rPr>
        <w:t xml:space="preserve">3.1  bronze_prices_raw</w:t>
      </w:r>
    </w:p>
    <w:p>
      <w:pPr>
        <w:spacing w:after="120"/>
      </w:pPr>
      <w:r>
        <w:rPr>
          <w:rFonts w:ascii="Arial" w:cs="Arial" w:eastAsia="Arial" w:hAnsi="Arial"/>
          <w:b w:val="false"/>
          <w:bCs w:val="false"/>
          <w:i w:val="false"/>
          <w:iCs w:val="false"/>
          <w:color w:val="000000"/>
          <w:sz w:val="22"/>
          <w:szCs w:val="22"/>
        </w:rPr>
        <w:t xml:space="preserve">Source: yfinance Python library, pulled monthly (month-end dates). One row per month-end date, one column per asset. This is a wide-format table — all tickers as separate columns — which is how it comes out of the pipeline before normalization.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0"/>
        <w:gridCol w:w="700"/>
        <w:gridCol w:w="5460"/>
      </w:tblGrid>
      <w:tr>
        <w:trPr>
          <w:tblHeader/>
        </w:trPr>
        <w:tc>
          <w:tcPr>
            <w:tcW w:type="dxa" w:w="160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Column</w:t>
            </w:r>
          </w:p>
        </w:tc>
        <w:tc>
          <w:tcPr>
            <w:tcW w:type="dxa" w:w="100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Type</w:t>
            </w:r>
          </w:p>
        </w:tc>
        <w:tc>
          <w:tcPr>
            <w:tcW w:type="dxa" w:w="60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Key</w:t>
            </w:r>
          </w:p>
        </w:tc>
        <w:tc>
          <w:tcPr>
            <w:tcW w:type="dxa" w:w="70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Nullable</w:t>
            </w:r>
          </w:p>
        </w:tc>
        <w:tc>
          <w:tcPr>
            <w:tcW w:type="dxa" w:w="546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Description</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date</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w:t>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Month-end date (e.g. 2008-01-31). The sole primary key for this table. One row per calendar month.</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SPY</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Adjusted close price for the SPDR S&amp;P 500 ETF. Available from Jan 2007. NULLs only for months before yfinance history begins.</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VXF</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Adjusted close price for Vanguard Extended Market ETF (US Mid + Small Cap).</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EWC</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Adjusted close price for iShares MSCI Canada ETF (Canadian Equities).</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EFA</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Adjusted close price for iShares MSCI EAFE ETF (International Developed, ex-US).</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VWO</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Adjusted close price for Vanguard Emerging Markets ETF.</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AGG</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Adjusted close price for iShares Core US Aggregate Bond ETF.</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EMB</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Adjusted close price for iShares JP Morgan USD Emerging Markets Bond ETF. First available Jan 2008 — 12 missing months at the start.</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DBC</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Adjusted close price for Invesco DB Commodity Index ETF (broad commodities basket).</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BWX</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Adjusted close price for SPDR Bloomberg International Treasury Bond ETF. Available Nov 2007 through approx. Jul 2013, then superseded by BNDX in the splice.</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BNDX</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Adjusted close price for Vanguard Total International Bond ETF (USD-hedged). Available from Jul 2013 onwards. Used as the post-splice series for INTL_BOND.</w:t>
            </w:r>
          </w:p>
        </w:tc>
      </w:tr>
    </w:tbl>
    <w:p>
      <w:pPr>
        <w:spacing w:after="160"/>
      </w:pPr>
    </w:p>
    <w:p>
      <w:pPr>
        <w:pStyle w:val="Heading2"/>
        <w:spacing w:after="120" w:before="280"/>
      </w:pPr>
      <w:r>
        <w:rPr>
          <w:rFonts w:ascii="Arial" w:cs="Arial" w:eastAsia="Arial" w:hAnsi="Arial"/>
          <w:b/>
          <w:bCs/>
          <w:color w:val="8B4513"/>
          <w:sz w:val="26"/>
          <w:szCs w:val="26"/>
        </w:rPr>
        <w:t xml:space="preserve">3.2  bronze_pmi_manufacturing</w:t>
      </w:r>
    </w:p>
    <w:p>
      <w:pPr>
        <w:spacing w:after="120"/>
      </w:pPr>
      <w:r>
        <w:rPr>
          <w:rFonts w:ascii="Arial" w:cs="Arial" w:eastAsia="Arial" w:hAnsi="Arial"/>
          <w:b w:val="false"/>
          <w:bCs w:val="false"/>
          <w:i w:val="false"/>
          <w:iCs w:val="false"/>
          <w:color w:val="000000"/>
          <w:sz w:val="22"/>
          <w:szCs w:val="22"/>
        </w:rPr>
        <w:t xml:space="preserve">Source: ISM (Institute for Supply Management) Manufacturing Report on Business. Scraped and stored as-is. One reading per month. Available from Oct 2006 in the raw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0"/>
        <w:gridCol w:w="700"/>
        <w:gridCol w:w="5460"/>
      </w:tblGrid>
      <w:tr>
        <w:trPr>
          <w:tblHeader/>
        </w:trPr>
        <w:tc>
          <w:tcPr>
            <w:tcW w:type="dxa" w:w="160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Column</w:t>
            </w:r>
          </w:p>
        </w:tc>
        <w:tc>
          <w:tcPr>
            <w:tcW w:type="dxa" w:w="100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Type</w:t>
            </w:r>
          </w:p>
        </w:tc>
        <w:tc>
          <w:tcPr>
            <w:tcW w:type="dxa" w:w="60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Key</w:t>
            </w:r>
          </w:p>
        </w:tc>
        <w:tc>
          <w:tcPr>
            <w:tcW w:type="dxa" w:w="70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Nullable</w:t>
            </w:r>
          </w:p>
        </w:tc>
        <w:tc>
          <w:tcPr>
            <w:tcW w:type="dxa" w:w="546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Description</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date</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w:t>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Month start date (e.g. 2007-01-01). ISM reports are released at the start of the following month but dated to the survey month.</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PMI_US</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ISM Manufacturing PMI headline number. Scale 0-100. Reading above 50 = manufacturing sector expanding. Below 50 = contracting. The 50 boundary is the key decision threshold for macro regime classification.</w:t>
            </w:r>
          </w:p>
        </w:tc>
      </w:tr>
    </w:tbl>
    <w:p>
      <w:pPr>
        <w:spacing w:after="160"/>
      </w:pPr>
    </w:p>
    <w:p>
      <w:pPr>
        <w:pStyle w:val="Heading2"/>
        <w:spacing w:after="120" w:before="280"/>
      </w:pPr>
      <w:r>
        <w:rPr>
          <w:rFonts w:ascii="Arial" w:cs="Arial" w:eastAsia="Arial" w:hAnsi="Arial"/>
          <w:b/>
          <w:bCs/>
          <w:color w:val="8B4513"/>
          <w:sz w:val="26"/>
          <w:szCs w:val="26"/>
        </w:rPr>
        <w:t xml:space="preserve">3.3  bronze_pmi_nonmanufacturing</w:t>
      </w:r>
    </w:p>
    <w:p>
      <w:pPr>
        <w:spacing w:after="120"/>
      </w:pPr>
      <w:r>
        <w:rPr>
          <w:rFonts w:ascii="Arial" w:cs="Arial" w:eastAsia="Arial" w:hAnsi="Arial"/>
          <w:b w:val="false"/>
          <w:bCs w:val="false"/>
          <w:i w:val="false"/>
          <w:iCs w:val="false"/>
          <w:color w:val="000000"/>
          <w:sz w:val="22"/>
          <w:szCs w:val="22"/>
        </w:rPr>
        <w:t xml:space="preserve">Source: ISM Non-Manufacturing (Services) Report on Business. The services sector represents roughly 80% of US GDP, making this the more economically significant of the two PMI surveys. Available from Jan 2007.</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0"/>
        <w:gridCol w:w="700"/>
        <w:gridCol w:w="5460"/>
      </w:tblGrid>
      <w:tr>
        <w:trPr>
          <w:tblHeader/>
        </w:trPr>
        <w:tc>
          <w:tcPr>
            <w:tcW w:type="dxa" w:w="160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Column</w:t>
            </w:r>
          </w:p>
        </w:tc>
        <w:tc>
          <w:tcPr>
            <w:tcW w:type="dxa" w:w="100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Type</w:t>
            </w:r>
          </w:p>
        </w:tc>
        <w:tc>
          <w:tcPr>
            <w:tcW w:type="dxa" w:w="60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Key</w:t>
            </w:r>
          </w:p>
        </w:tc>
        <w:tc>
          <w:tcPr>
            <w:tcW w:type="dxa" w:w="70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Nullable</w:t>
            </w:r>
          </w:p>
        </w:tc>
        <w:tc>
          <w:tcPr>
            <w:tcW w:type="dxa" w:w="5460"/>
            <w:tcBorders>
              <w:top w:val="single" w:color="FFFFFF" w:sz="1"/>
              <w:left w:val="single" w:color="FFFFFF" w:sz="1"/>
              <w:bottom w:val="single" w:color="FFFFFF" w:sz="1"/>
              <w:right w:val="single" w:color="FFFFFF" w:sz="1"/>
            </w:tcBorders>
            <w:shd w:fill="8B4513" w:val="clear"/>
            <w:tcMar>
              <w:top w:type="dxa" w:w="80"/>
              <w:start w:type="dxa" w:w="120"/>
              <w:bottom w:type="dxa" w:w="80"/>
              <w:end w:type="dxa" w:w="120"/>
            </w:tcMar>
          </w:tcPr>
          <w:p>
            <w:r>
              <w:rPr>
                <w:rFonts w:ascii="Arial" w:cs="Arial" w:eastAsia="Arial" w:hAnsi="Arial"/>
                <w:b/>
                <w:bCs/>
                <w:color w:val="FFFFFF"/>
                <w:sz w:val="18"/>
                <w:szCs w:val="18"/>
              </w:rPr>
              <w:t xml:space="preserve">Description</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date</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w:t>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Month start date. Same dating convention as manufacturing PMI.</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PMI_NM_US</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ISM Non-Manufacturing PMI headline number. Same 0-100 scale and 50-threshold interpretation as the manufacturing survey.</w:t>
            </w:r>
          </w:p>
        </w:tc>
      </w:tr>
    </w:tbl>
    <w:p>
      <w:pPr>
        <w:spacing w:after="120" w:before="200"/>
      </w:pPr>
      <w:r>
        <w:rPr>
          <w:rFonts w:ascii="Arial" w:cs="Arial" w:eastAsia="Arial" w:hAnsi="Arial"/>
          <w:b/>
          <w:bCs/>
          <w:color w:val="8B4513"/>
          <w:sz w:val="26"/>
          <w:szCs w:val="26"/>
        </w:rPr>
        <w:t>3.4  bronze_us_macro_daily</w:t>
      </w:r>
    </w:p>
    <w:p>
      <w:pPr>
        <w:spacing w:after="120"/>
      </w:pPr>
      <w:r>
        <w:rPr>
          <w:rFonts w:ascii="Arial" w:cs="Arial" w:eastAsia="Arial" w:hAnsi="Arial"/>
          <w:sz w:val="22"/>
          <w:szCs w:val="22"/>
        </w:rPr>
        <w:t xml:space="preserve">Source: us_macro_2013_2018.csv. Contains 13 macroeconomic indicators for the US economy. The file has approximately 23 rows per month (one per trading day), because some series (credit spreads, dividend yield) are daily while others (CPI, interest rates, yield curve spreads) are monthly and are repeated on every daily row within the month. Coverage is currently January 2013 through January 2018 only — the full 2007–present window is planned for a future pipeline update.</w:t>
      </w:r>
    </w:p>
    <w:tbl>
      <w:tblPr>
        <w:tblW w:type="dxa" w:w="9360"/>
        <w:tblBorders>
          <w:insideH w:color="DDDDDD" w:sz="4" w:val="single"/>
          <w:insideV w:color="DDDDDD" w:sz="4" w:val="single"/>
        </w:tblBorders>
      </w:tblPr>
      <w:tblGrid>
        <w:gridCol w:w="1600"/>
        <w:gridCol w:w="1000"/>
        <w:gridCol w:w="600"/>
        <w:gridCol w:w="700"/>
        <w:gridCol w:w="5460"/>
      </w:tblGrid>
      <w:tr>
        <w:tc>
          <w:tcPr>
            <w:tcW w:type="dxa" w:w="1600"/>
            <w:tcBorders>
              <w:top w:color="FFFFFF" w:space="0" w:sz="4" w:val="single"/>
              <w:bottom w:color="FFFFFF" w:space="0" w:sz="4" w:val="single"/>
              <w:left w:color="FFFFFF" w:space="0" w:sz="4" w:val="single"/>
              <w:right w:color="FFFFFF" w:space="0" w:sz="4" w:val="single"/>
            </w:tcBorders>
            <w:shd w:fill="8B4513" w:val="clear"/>
            <w:tcMar>
              <w:top w:type="dxa" w:w="80"/>
              <w:start w:type="dxa" w:w="120"/>
              <w:bottom w:type="dxa" w:w="80"/>
              <w:end w:type="dxa" w:w="120"/>
            </w:tcMar>
          </w:tcPr>
          <w:p>
            <w:r>
              <w:rPr>
                <w:rFonts w:ascii="Arial" w:cs="Arial" w:eastAsia="Arial" w:hAnsi="Arial"/>
                <w:b/>
                <w:bCs/>
                <w:color w:val="FFFFFF"/>
                <w:sz w:val="18"/>
                <w:szCs w:val="18"/>
              </w:rPr>
              <w:t>Column</w:t>
            </w:r>
          </w:p>
        </w:tc>
        <w:tc>
          <w:tcPr>
            <w:tcW w:type="dxa" w:w="1000"/>
            <w:tcBorders>
              <w:top w:color="FFFFFF" w:space="0" w:sz="4" w:val="single"/>
              <w:bottom w:color="FFFFFF" w:space="0" w:sz="4" w:val="single"/>
              <w:left w:color="FFFFFF" w:space="0" w:sz="4" w:val="single"/>
              <w:right w:color="FFFFFF" w:space="0" w:sz="4" w:val="single"/>
            </w:tcBorders>
            <w:shd w:fill="8B4513" w:val="clear"/>
            <w:tcMar>
              <w:top w:type="dxa" w:w="80"/>
              <w:start w:type="dxa" w:w="120"/>
              <w:bottom w:type="dxa" w:w="80"/>
              <w:end w:type="dxa" w:w="120"/>
            </w:tcMar>
          </w:tcPr>
          <w:p>
            <w:r>
              <w:rPr>
                <w:rFonts w:ascii="Arial" w:cs="Arial" w:eastAsia="Arial" w:hAnsi="Arial"/>
                <w:b/>
                <w:bCs/>
                <w:color w:val="FFFFFF"/>
                <w:sz w:val="18"/>
                <w:szCs w:val="18"/>
              </w:rPr>
              <w:t>Type</w:t>
            </w:r>
          </w:p>
        </w:tc>
        <w:tc>
          <w:tcPr>
            <w:tcW w:type="dxa" w:w="600"/>
            <w:tcBorders>
              <w:top w:color="FFFFFF" w:space="0" w:sz="4" w:val="single"/>
              <w:bottom w:color="FFFFFF" w:space="0" w:sz="4" w:val="single"/>
              <w:left w:color="FFFFFF" w:space="0" w:sz="4" w:val="single"/>
              <w:right w:color="FFFFFF" w:space="0" w:sz="4" w:val="single"/>
            </w:tcBorders>
            <w:shd w:fill="8B4513" w:val="clear"/>
            <w:tcMar>
              <w:top w:type="dxa" w:w="80"/>
              <w:start w:type="dxa" w:w="120"/>
              <w:bottom w:type="dxa" w:w="80"/>
              <w:end w:type="dxa" w:w="120"/>
            </w:tcMar>
          </w:tcPr>
          <w:p>
            <w:r>
              <w:rPr>
                <w:rFonts w:ascii="Arial" w:cs="Arial" w:eastAsia="Arial" w:hAnsi="Arial"/>
                <w:b/>
                <w:bCs/>
                <w:color w:val="FFFFFF"/>
                <w:sz w:val="18"/>
                <w:szCs w:val="18"/>
              </w:rPr>
              <w:t>Key</w:t>
            </w:r>
          </w:p>
        </w:tc>
        <w:tc>
          <w:tcPr>
            <w:tcW w:type="dxa" w:w="700"/>
            <w:tcBorders>
              <w:top w:color="FFFFFF" w:space="0" w:sz="4" w:val="single"/>
              <w:bottom w:color="FFFFFF" w:space="0" w:sz="4" w:val="single"/>
              <w:left w:color="FFFFFF" w:space="0" w:sz="4" w:val="single"/>
              <w:right w:color="FFFFFF" w:space="0" w:sz="4" w:val="single"/>
            </w:tcBorders>
            <w:shd w:fill="8B4513" w:val="clear"/>
            <w:tcMar>
              <w:top w:type="dxa" w:w="80"/>
              <w:start w:type="dxa" w:w="120"/>
              <w:bottom w:type="dxa" w:w="80"/>
              <w:end w:type="dxa" w:w="120"/>
            </w:tcMar>
          </w:tcPr>
          <w:p>
            <w:r>
              <w:rPr>
                <w:rFonts w:ascii="Arial" w:cs="Arial" w:eastAsia="Arial" w:hAnsi="Arial"/>
                <w:b/>
                <w:bCs/>
                <w:color w:val="FFFFFF"/>
                <w:sz w:val="18"/>
                <w:szCs w:val="18"/>
              </w:rPr>
              <w:t>Nullable</w:t>
            </w:r>
          </w:p>
        </w:tc>
        <w:tc>
          <w:tcPr>
            <w:tcW w:type="dxa" w:w="5460"/>
            <w:tcBorders>
              <w:top w:color="FFFFFF" w:space="0" w:sz="4" w:val="single"/>
              <w:bottom w:color="FFFFFF" w:space="0" w:sz="4" w:val="single"/>
              <w:left w:color="FFFFFF" w:space="0" w:sz="4" w:val="single"/>
              <w:right w:color="FFFFFF" w:space="0" w:sz="4" w:val="single"/>
            </w:tcBorders>
            <w:shd w:fill="8B4513" w:val="clear"/>
            <w:tcMar>
              <w:top w:type="dxa" w:w="80"/>
              <w:start w:type="dxa" w:w="120"/>
              <w:bottom w:type="dxa" w:w="80"/>
              <w:end w:type="dxa" w:w="120"/>
            </w:tcMar>
          </w:tcPr>
          <w:p>
            <w:r>
              <w:rPr>
                <w:rFonts w:ascii="Arial" w:cs="Arial" w:eastAsia="Arial" w:hAnsi="Arial"/>
                <w:b/>
                <w:bCs/>
                <w:color w:val="FFFFFF"/>
                <w:sz w:val="18"/>
                <w:szCs w:val="18"/>
              </w:rPr>
              <w:t>Description</w:t>
            </w:r>
          </w:p>
        </w:tc>
      </w:tr>
      <w:tr>
        <w:tc>
          <w:tcPr>
            <w:tcW w:type="dxa" w:w="1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b/>
                <w:bCs/>
                <w:color w:val="CC0000"/>
                <w:sz w:val="18"/>
                <w:szCs w:val="18"/>
              </w:rPr>
              <w:t>date</w:t>
            </w:r>
          </w:p>
        </w:tc>
        <w:tc>
          <w:tcPr>
            <w:tcW w:type="dxa" w:w="10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i/>
                <w:iCs/>
                <w:sz w:val="18"/>
                <w:szCs w:val="18"/>
              </w:rPr>
              <w:t>DATE</w:t>
            </w:r>
          </w:p>
        </w:tc>
        <w:tc>
          <w:tcPr>
            <w:tcW w:type="dxa" w:w="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PK</w:t>
            </w:r>
          </w:p>
        </w:tc>
        <w:tc>
          <w:tcPr>
            <w:tcW w:type="dxa" w:w="7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 xml:space="preserve">Trading day date. Primary key. ~23 rows per month (one per trading day). NOTE: monthly macro series (CPI, rates) are repeated on every daily row within the month.</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month</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VARCHAR</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Month grouping key in YYYY-MM format. Used to aggregate daily rows to monthly when joining with returns data.</w:t>
            </w:r>
          </w:p>
        </w:tc>
      </w:tr>
      <w:tr>
        <w:tc>
          <w:tcPr>
            <w:tcW w:type="dxa" w:w="1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color w:val="000000"/>
                <w:sz w:val="18"/>
                <w:szCs w:val="18"/>
              </w:rPr>
              <w:t>HEADLINE_CPI_USA</w:t>
            </w:r>
          </w:p>
        </w:tc>
        <w:tc>
          <w:tcPr>
            <w:tcW w:type="dxa" w:w="10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 xml:space="preserve">US Headline CPI inflation rate (year-over-year %). Monthly observation, repeated across all daily rows within the month.</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CORE_CPI_USA</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US Core CPI index level (excludes food and energy). Monthly, repeated daily within month.</w:t>
            </w:r>
          </w:p>
        </w:tc>
      </w:tr>
      <w:tr>
        <w:tc>
          <w:tcPr>
            <w:tcW w:type="dxa" w:w="1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color w:val="000000"/>
                <w:sz w:val="18"/>
                <w:szCs w:val="18"/>
              </w:rPr>
              <w:t>IR3TIB_USA</w:t>
            </w:r>
          </w:p>
        </w:tc>
        <w:tc>
          <w:tcPr>
            <w:tcW w:type="dxa" w:w="10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 xml:space="preserve">US 3-month interbank rate (LIBOR/SOFR equivalent). Monthly, repeated daily.</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IRLT_USA</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US long-term interest rate (10Y Treasury yield). Monthly, repeated daily.</w:t>
            </w:r>
          </w:p>
        </w:tc>
      </w:tr>
      <w:tr>
        <w:tc>
          <w:tcPr>
            <w:tcW w:type="dxa" w:w="1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color w:val="000000"/>
                <w:sz w:val="18"/>
                <w:szCs w:val="18"/>
              </w:rPr>
              <w:t>IRSTCI_USA</w:t>
            </w:r>
          </w:p>
        </w:tc>
        <w:tc>
          <w:tcPr>
            <w:tcW w:type="dxa" w:w="10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 xml:space="preserve">US short-term call money / overnight interest rate. Monthly, repeated daily.</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DGS2_USA</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US 2-year Treasury yield. Monthly observation.</w:t>
            </w:r>
          </w:p>
        </w:tc>
      </w:tr>
      <w:tr>
        <w:tc>
          <w:tcPr>
            <w:tcW w:type="dxa" w:w="1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color w:val="000000"/>
                <w:sz w:val="18"/>
                <w:szCs w:val="18"/>
              </w:rPr>
              <w:t>DIV_YIELD_USA</w:t>
            </w:r>
          </w:p>
        </w:tc>
        <w:tc>
          <w:tcPr>
            <w:tcW w:type="dxa" w:w="10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 xml:space="preserve">S&amp;P 500 dividend yield. Monthly observation.</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CREDIT_SPREAD_BAA_USA</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YES</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Moody’s BAA corporate bond yield spread vs. Treasuries. Daily observation — varies within the month. NULL for some days.</w:t>
            </w:r>
          </w:p>
        </w:tc>
      </w:tr>
      <w:tr>
        <w:tc>
          <w:tcPr>
            <w:tcW w:type="dxa" w:w="1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color w:val="000000"/>
                <w:sz w:val="18"/>
                <w:szCs w:val="18"/>
              </w:rPr>
              <w:t>CREDIT_SPREAD_AAA_USA</w:t>
            </w:r>
          </w:p>
        </w:tc>
        <w:tc>
          <w:tcPr>
            <w:tcW w:type="dxa" w:w="10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YES</w:t>
            </w:r>
          </w:p>
        </w:tc>
        <w:tc>
          <w:tcPr>
            <w:tcW w:type="dxa" w:w="546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 xml:space="preserve">Moody’s AAA corporate bond yield spread vs. Treasuries. Daily observation.</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SPREAD_10Y3M_USA</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Yield curve spread: 10-year Treasury minus 3-month Treasury. Positive = normal curve; negative = inverted (recession signal). Monthly.</w:t>
            </w:r>
          </w:p>
        </w:tc>
      </w:tr>
      <w:tr>
        <w:tc>
          <w:tcPr>
            <w:tcW w:type="dxa" w:w="1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color w:val="000000"/>
                <w:sz w:val="18"/>
                <w:szCs w:val="18"/>
              </w:rPr>
              <w:t>SPREAD_10Y2Y_USA</w:t>
            </w:r>
          </w:p>
        </w:tc>
        <w:tc>
          <w:tcPr>
            <w:tcW w:type="dxa" w:w="10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4DCBC" w:val="clear"/>
            <w:tcMar>
              <w:top w:type="dxa" w:w="60"/>
              <w:start w:type="dxa" w:w="120"/>
              <w:bottom w:type="dxa" w:w="60"/>
              <w:end w:type="dxa" w:w="120"/>
            </w:tcMar>
          </w:tcPr>
          <w:p>
            <w:r>
              <w:rPr>
                <w:rFonts w:ascii="Arial" w:cs="Arial" w:eastAsia="Arial" w:hAnsi="Arial"/>
                <w:sz w:val="18"/>
                <w:szCs w:val="18"/>
              </w:rPr>
              <w:t xml:space="preserve">10-year minus 2-year Treasury spread. The most widely watched recession indicator. Monthly.</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SPREAD_BAA_AAA_USA</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YES</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Spread between BAA and AAA corporate bonds. Measures credit quality premium. Daily, varies within month.</w:t>
            </w:r>
          </w:p>
        </w:tc>
      </w:tr>
    </w:tbl>
    <w:p>
      <w:pPr>
        <w:spacing w:after="160"/>
      </w:pPr>
    </w:p>
    <w:p>
      <w:r>
        <w:br w:type="page"/>
      </w:r>
    </w:p>
    <w:p>
      <w:pPr>
        <w:spacing w:after="0" w:before="240"/>
      </w:pPr>
      <w:r>
        <w:rPr>
          <w:rFonts w:ascii="Arial" w:cs="Arial" w:eastAsia="Arial" w:hAnsi="Arial"/>
          <w:b/>
          <w:bCs/>
          <w:color w:val="708090"/>
          <w:sz w:val="28"/>
          <w:szCs w:val="28"/>
        </w:rPr>
        <w:t xml:space="preserve">4.  SILVER LAYER — Cleaned &amp; Validated</w:t>
      </w:r>
    </w:p>
    <w:p>
      <w:pPr>
        <w:spacing w:after="80"/>
      </w:pPr>
    </w:p>
    <w:p>
      <w:pPr>
        <w:spacing w:after="120"/>
      </w:pPr>
      <w:r>
        <w:rPr>
          <w:rFonts w:ascii="Arial" w:cs="Arial" w:eastAsia="Arial" w:hAnsi="Arial"/>
          <w:b w:val="false"/>
          <w:bCs w:val="false"/>
          <w:i w:val="false"/>
          <w:iCs w:val="false"/>
          <w:color w:val="000000"/>
          <w:sz w:val="22"/>
          <w:szCs w:val="22"/>
        </w:rPr>
        <w:t xml:space="preserve">The Silver layer normalizes and validates the Bronze data. Wide-format price tables are pivoted to long format (one row per date-ticker pair), the INTL_BOND splice is applied, data quality is audited, and the two PMI surveys are joined into a composite. Silver is still granular — you can trace every data point back to its source.</w:t>
      </w:r>
    </w:p>
    <w:p>
      <w:pPr>
        <w:spacing w:after="120"/>
      </w:pPr>
    </w:p>
    <w:p>
      <w:pPr>
        <w:pStyle w:val="Heading2"/>
        <w:spacing w:after="120" w:before="280"/>
      </w:pPr>
      <w:r>
        <w:rPr>
          <w:rFonts w:ascii="Arial" w:cs="Arial" w:eastAsia="Arial" w:hAnsi="Arial"/>
          <w:b/>
          <w:bCs/>
          <w:color w:val="708090"/>
          <w:sz w:val="26"/>
          <w:szCs w:val="26"/>
        </w:rPr>
        <w:t xml:space="preserve">4.1  silver_prices</w:t>
      </w:r>
    </w:p>
    <w:p>
      <w:pPr>
        <w:spacing w:after="120"/>
      </w:pPr>
      <w:r>
        <w:rPr>
          <w:rFonts w:ascii="Arial" w:cs="Arial" w:eastAsia="Arial" w:hAnsi="Arial"/>
          <w:b w:val="false"/>
          <w:bCs w:val="false"/>
          <w:i w:val="false"/>
          <w:iCs w:val="false"/>
          <w:color w:val="000000"/>
          <w:sz w:val="22"/>
          <w:szCs w:val="22"/>
        </w:rPr>
        <w:t xml:space="preserve">Long-format (normalized) version of bronze_prices_raw. The BWX-to-BNDX splice is applied here: pre-July 2013 INTL_BOND rows use chain-linked BWX data; post-July 2013 use BNDX. The is_spliced flag marks which rows are affected so downstream consumers know to treat them carefully.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0"/>
        <w:gridCol w:w="700"/>
        <w:gridCol w:w="5460"/>
      </w:tblGrid>
      <w:tr>
        <w:trPr>
          <w:tblHeader/>
        </w:trPr>
        <w:tc>
          <w:tcPr>
            <w:tcW w:type="dxa" w:w="16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Column</w:t>
            </w:r>
          </w:p>
        </w:tc>
        <w:tc>
          <w:tcPr>
            <w:tcW w:type="dxa" w:w="10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Type</w:t>
            </w:r>
          </w:p>
        </w:tc>
        <w:tc>
          <w:tcPr>
            <w:tcW w:type="dxa" w:w="6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Key</w:t>
            </w:r>
          </w:p>
        </w:tc>
        <w:tc>
          <w:tcPr>
            <w:tcW w:type="dxa" w:w="7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Nullable</w:t>
            </w:r>
          </w:p>
        </w:tc>
        <w:tc>
          <w:tcPr>
            <w:tcW w:type="dxa" w:w="546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Description</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date</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w:t>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Month-end date. Half of the composite primary key.</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ticker</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VARCHAR</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 / FK</w:t>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Asset ticker symbol (e.g. SPY, INTL_BOND). Second half of the composite PK. Foreign key references dim_asset.ticker.</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adj_close</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Adjusted closing price for that asset on that month-end date. All values non-NULL in this table (quality-checked).</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is_spliced</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BOOLEAN</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TRUE when ticker = INTL_BOND AND the row falls before July 2013, meaning it uses BWX data rather than BNDX. Important: BWX is unhedged (exposed to foreign currency risk) while BNDX is USD-hedged. This flag documents that methodological difference.</w:t>
            </w:r>
          </w:p>
        </w:tc>
      </w:tr>
    </w:tbl>
    <w:p>
      <w:pPr>
        <w:spacing w:after="160"/>
      </w:pPr>
    </w:p>
    <w:p>
      <w:pPr>
        <w:pStyle w:val="Heading2"/>
        <w:spacing w:after="120" w:before="280"/>
      </w:pPr>
      <w:r>
        <w:rPr>
          <w:rFonts w:ascii="Arial" w:cs="Arial" w:eastAsia="Arial" w:hAnsi="Arial"/>
          <w:b/>
          <w:bCs/>
          <w:color w:val="708090"/>
          <w:sz w:val="26"/>
          <w:szCs w:val="26"/>
        </w:rPr>
        <w:t xml:space="preserve">4.2  silver_pmi_composite</w:t>
      </w:r>
    </w:p>
    <w:p>
      <w:pPr>
        <w:spacing w:after="120"/>
      </w:pPr>
      <w:r>
        <w:rPr>
          <w:rFonts w:ascii="Arial" w:cs="Arial" w:eastAsia="Arial" w:hAnsi="Arial"/>
          <w:b w:val="false"/>
          <w:bCs w:val="false"/>
          <w:i w:val="false"/>
          <w:iCs w:val="false"/>
          <w:color w:val="000000"/>
          <w:sz w:val="22"/>
          <w:szCs w:val="22"/>
        </w:rPr>
        <w:t xml:space="preserve">Joins manufacturing and non-manufacturing PMI into a single composite series. The composite is computed as a weighted average: 20% Manufacturing + 80% Non-Manufacturing, reflecting the rough GDP share of each sector. When only manufacturing data is available (before Jan 2007), the composite is NULL and the source column documents why.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0"/>
        <w:gridCol w:w="700"/>
        <w:gridCol w:w="5460"/>
      </w:tblGrid>
      <w:tr>
        <w:trPr>
          <w:tblHeader/>
        </w:trPr>
        <w:tc>
          <w:tcPr>
            <w:tcW w:type="dxa" w:w="16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Column</w:t>
            </w:r>
          </w:p>
        </w:tc>
        <w:tc>
          <w:tcPr>
            <w:tcW w:type="dxa" w:w="10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Type</w:t>
            </w:r>
          </w:p>
        </w:tc>
        <w:tc>
          <w:tcPr>
            <w:tcW w:type="dxa" w:w="6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Key</w:t>
            </w:r>
          </w:p>
        </w:tc>
        <w:tc>
          <w:tcPr>
            <w:tcW w:type="dxa" w:w="7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Nullable</w:t>
            </w:r>
          </w:p>
        </w:tc>
        <w:tc>
          <w:tcPr>
            <w:tcW w:type="dxa" w:w="546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Description</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date</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w:t>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Month start date. Primary key — one row per month.</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PMI_US</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ISM Manufacturing PMI for the month. Always populated back to Oct 2006.</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PMI_NM_US</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ISM Non-Manufacturing PMI. NULL before Jan 2007 (survey data not available).</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PMI_Composite_US</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Weighted composite: (0.2 x PMI_US) + (0.8 x PMI_NM_US). NULL when PMI_NM_US is NULL. This is the primary macro signal used by the optimizer.</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source</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VARCHAR</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'both' = both ISM surveys available and used. 'manufacturing_only' = only manufacturing PMI available for that month.</w:t>
            </w:r>
          </w:p>
        </w:tc>
      </w:tr>
    </w:tbl>
    <w:p>
      <w:pPr>
        <w:spacing w:after="160"/>
      </w:pPr>
    </w:p>
    <w:p>
      <w:pPr>
        <w:pStyle w:val="Heading2"/>
        <w:spacing w:after="120" w:before="280"/>
      </w:pPr>
      <w:r>
        <w:rPr>
          <w:rFonts w:ascii="Arial" w:cs="Arial" w:eastAsia="Arial" w:hAnsi="Arial"/>
          <w:b/>
          <w:bCs/>
          <w:color w:val="708090"/>
          <w:sz w:val="26"/>
          <w:szCs w:val="26"/>
        </w:rPr>
        <w:t xml:space="preserve">4.3  silver_returns_full</w:t>
      </w:r>
    </w:p>
    <w:p>
      <w:pPr>
        <w:spacing w:after="120"/>
      </w:pPr>
      <w:r>
        <w:rPr>
          <w:rFonts w:ascii="Arial" w:cs="Arial" w:eastAsia="Arial" w:hAnsi="Arial"/>
          <w:b w:val="false"/>
          <w:bCs w:val="false"/>
          <w:i w:val="false"/>
          <w:iCs w:val="false"/>
          <w:color w:val="000000"/>
          <w:sz w:val="22"/>
          <w:szCs w:val="22"/>
        </w:rPr>
        <w:t xml:space="preserve">Long-format monthly returns for all assets. Returns are computed as simple percentage change: (price_t / price_{t-1}) - 1. NULL values appear in early months where an asset does not yet have two consecutive price observations. This table preserves the full history including the NULLs, unlike gold_returns_aligned which cuts to the common window.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0"/>
        <w:gridCol w:w="700"/>
        <w:gridCol w:w="5460"/>
      </w:tblGrid>
      <w:tr>
        <w:trPr>
          <w:tblHeader/>
        </w:trPr>
        <w:tc>
          <w:tcPr>
            <w:tcW w:type="dxa" w:w="16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Column</w:t>
            </w:r>
          </w:p>
        </w:tc>
        <w:tc>
          <w:tcPr>
            <w:tcW w:type="dxa" w:w="10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Type</w:t>
            </w:r>
          </w:p>
        </w:tc>
        <w:tc>
          <w:tcPr>
            <w:tcW w:type="dxa" w:w="6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Key</w:t>
            </w:r>
          </w:p>
        </w:tc>
        <w:tc>
          <w:tcPr>
            <w:tcW w:type="dxa" w:w="7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Nullable</w:t>
            </w:r>
          </w:p>
        </w:tc>
        <w:tc>
          <w:tcPr>
            <w:tcW w:type="dxa" w:w="546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Description</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date</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w:t>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Month-end date. Composite PK with ticker.</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ticker</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VARCHAR</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 / FK</w:t>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Asset ticker. FK references dim_asset.ticker.</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monthly_return</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Simple monthly return expressed as a decimal (e.g. 0.05 = 5% gain). NULL for months where the asset had no prior price observation — primarily the first month of each series.</w:t>
            </w:r>
          </w:p>
        </w:tc>
      </w:tr>
    </w:tbl>
    <w:p>
      <w:pPr>
        <w:spacing w:after="160"/>
      </w:pPr>
    </w:p>
    <w:p>
      <w:pPr>
        <w:pStyle w:val="Heading2"/>
        <w:spacing w:after="120" w:before="280"/>
      </w:pPr>
      <w:r>
        <w:rPr>
          <w:rFonts w:ascii="Arial" w:cs="Arial" w:eastAsia="Arial" w:hAnsi="Arial"/>
          <w:b/>
          <w:bCs/>
          <w:color w:val="708090"/>
          <w:sz w:val="26"/>
          <w:szCs w:val="26"/>
        </w:rPr>
        <w:t xml:space="preserve">4.4  silver_data_quality</w:t>
      </w:r>
    </w:p>
    <w:p>
      <w:pPr>
        <w:spacing w:after="120"/>
      </w:pPr>
      <w:r>
        <w:rPr>
          <w:rFonts w:ascii="Arial" w:cs="Arial" w:eastAsia="Arial" w:hAnsi="Arial"/>
          <w:b w:val="false"/>
          <w:bCs w:val="false"/>
          <w:i w:val="false"/>
          <w:iCs w:val="false"/>
          <w:color w:val="000000"/>
          <w:sz w:val="22"/>
          <w:szCs w:val="22"/>
        </w:rPr>
        <w:t xml:space="preserve">One row per asset summarizing the completeness and integrity of its price history. Generated by the pipeline's quality audit step. Flags assets with gaps, short histories, or splice methodology warnings that analysts should be aware of.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0"/>
        <w:gridCol w:w="700"/>
        <w:gridCol w:w="5460"/>
      </w:tblGrid>
      <w:tr>
        <w:trPr>
          <w:tblHeader/>
        </w:trPr>
        <w:tc>
          <w:tcPr>
            <w:tcW w:type="dxa" w:w="16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Column</w:t>
            </w:r>
          </w:p>
        </w:tc>
        <w:tc>
          <w:tcPr>
            <w:tcW w:type="dxa" w:w="10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Type</w:t>
            </w:r>
          </w:p>
        </w:tc>
        <w:tc>
          <w:tcPr>
            <w:tcW w:type="dxa" w:w="6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Key</w:t>
            </w:r>
          </w:p>
        </w:tc>
        <w:tc>
          <w:tcPr>
            <w:tcW w:type="dxa" w:w="70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Nullable</w:t>
            </w:r>
          </w:p>
        </w:tc>
        <w:tc>
          <w:tcPr>
            <w:tcW w:type="dxa" w:w="5460"/>
            <w:tcBorders>
              <w:top w:val="single" w:color="FFFFFF" w:sz="1"/>
              <w:left w:val="single" w:color="FFFFFF" w:sz="1"/>
              <w:bottom w:val="single" w:color="FFFFFF" w:sz="1"/>
              <w:right w:val="single" w:color="FFFFFF" w:sz="1"/>
            </w:tcBorders>
            <w:shd w:fill="708090" w:val="clear"/>
            <w:tcMar>
              <w:top w:type="dxa" w:w="80"/>
              <w:start w:type="dxa" w:w="120"/>
              <w:bottom w:type="dxa" w:w="80"/>
              <w:end w:type="dxa" w:w="120"/>
            </w:tcMar>
          </w:tcPr>
          <w:p>
            <w:r>
              <w:rPr>
                <w:rFonts w:ascii="Arial" w:cs="Arial" w:eastAsia="Arial" w:hAnsi="Arial"/>
                <w:b/>
                <w:bCs/>
                <w:color w:val="FFFFFF"/>
                <w:sz w:val="18"/>
                <w:szCs w:val="18"/>
              </w:rPr>
              <w:t xml:space="preserve">Description</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ticker</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VARCHAR</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 / FK</w:t>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Asset ticker. Primary key and FK to dim_asset.</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first_month</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The earliest month with a valid price observation for this asset.</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last_month</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The most recent month with a valid price observation.</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total_months</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INT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Total number of calendar months in the coverage window (first to last).</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missing_months</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INT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Count of months within the coverage window that have no price data. Ideally 0 or 1 (the very first return month, which needs a prior price).</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interior_gaps</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INT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Count of gaps that occur in the middle of the series — not at the edges. Any value above 0 means the history is fragmented and the asset may behave oddly in rolling calculations.</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status_ok</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BOOLEAN</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TRUE if the series passes automated quality checks (no interior gaps, missing months within tolerance). FALSE or warning means the asset needs manual review before use in production.</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splice_note</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TEXT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Free-text methodology warning. For INTL_BOND: documents that BWX (pre-2013) is unhedged while BNDX (post-2013) is USD-hedged, meaning the splice introduces a currency exposure change mid-series that analysts must disclose.</w:t>
            </w:r>
          </w:p>
        </w:tc>
      </w:tr>
    </w:tbl>
    <w:p>
      <w:pPr>
        <w:spacing w:after="120" w:before="200"/>
      </w:pPr>
      <w:r>
        <w:rPr>
          <w:rFonts w:ascii="Arial" w:cs="Arial" w:eastAsia="Arial" w:hAnsi="Arial"/>
          <w:b/>
          <w:bCs/>
          <w:color w:val="708090"/>
          <w:sz w:val="26"/>
          <w:szCs w:val="26"/>
        </w:rPr>
        <w:t>4.5  silver_us_macro_monthly</w:t>
      </w:r>
    </w:p>
    <w:p>
      <w:pPr>
        <w:spacing w:after="120"/>
      </w:pPr>
      <w:r>
        <w:rPr>
          <w:rFonts w:ascii="Arial" w:cs="Arial" w:eastAsia="Arial" w:hAnsi="Arial"/>
          <w:sz w:val="22"/>
          <w:szCs w:val="22"/>
        </w:rPr>
        <w:t xml:space="preserve">Aggregated version of bronze_us_macro_daily collapsed to one row per month. Monthly series (CPI, rates, yield curve spreads) are passed through unchanged. Daily series (credit spreads, dividend yield) are reduced to their month-end value to align with the returns convention. Coverage note: currently January 2013 – January 2018 only. A future pipeline run will extend this to the full 2007–present window. Until that update, this table cannot be joined to the full gold_returns_aligned window without gaps.</w:t>
      </w:r>
    </w:p>
    <w:tbl>
      <w:tblPr>
        <w:tblW w:type="dxa" w:w="9360"/>
        <w:tblBorders>
          <w:insideH w:color="DDDDDD" w:sz="4" w:val="single"/>
          <w:insideV w:color="DDDDDD" w:sz="4" w:val="single"/>
        </w:tblBorders>
      </w:tblPr>
      <w:tblGrid>
        <w:gridCol w:w="1600"/>
        <w:gridCol w:w="1000"/>
        <w:gridCol w:w="600"/>
        <w:gridCol w:w="700"/>
        <w:gridCol w:w="5460"/>
      </w:tblGrid>
      <w:tr>
        <w:tc>
          <w:tcPr>
            <w:tcW w:type="dxa" w:w="1600"/>
            <w:tcBorders>
              <w:top w:color="FFFFFF" w:space="0" w:sz="4" w:val="single"/>
              <w:bottom w:color="FFFFFF" w:space="0" w:sz="4" w:val="single"/>
              <w:left w:color="FFFFFF" w:space="0" w:sz="4" w:val="single"/>
              <w:right w:color="FFFFFF" w:space="0" w:sz="4" w:val="single"/>
            </w:tcBorders>
            <w:shd w:fill="708090" w:val="clear"/>
            <w:tcMar>
              <w:top w:type="dxa" w:w="80"/>
              <w:start w:type="dxa" w:w="120"/>
              <w:bottom w:type="dxa" w:w="80"/>
              <w:end w:type="dxa" w:w="120"/>
            </w:tcMar>
          </w:tcPr>
          <w:p>
            <w:r>
              <w:rPr>
                <w:rFonts w:ascii="Arial" w:cs="Arial" w:eastAsia="Arial" w:hAnsi="Arial"/>
                <w:b/>
                <w:bCs/>
                <w:color w:val="FFFFFF"/>
                <w:sz w:val="18"/>
                <w:szCs w:val="18"/>
              </w:rPr>
              <w:t>Column</w:t>
            </w:r>
          </w:p>
        </w:tc>
        <w:tc>
          <w:tcPr>
            <w:tcW w:type="dxa" w:w="1000"/>
            <w:tcBorders>
              <w:top w:color="FFFFFF" w:space="0" w:sz="4" w:val="single"/>
              <w:bottom w:color="FFFFFF" w:space="0" w:sz="4" w:val="single"/>
              <w:left w:color="FFFFFF" w:space="0" w:sz="4" w:val="single"/>
              <w:right w:color="FFFFFF" w:space="0" w:sz="4" w:val="single"/>
            </w:tcBorders>
            <w:shd w:fill="708090" w:val="clear"/>
            <w:tcMar>
              <w:top w:type="dxa" w:w="80"/>
              <w:start w:type="dxa" w:w="120"/>
              <w:bottom w:type="dxa" w:w="80"/>
              <w:end w:type="dxa" w:w="120"/>
            </w:tcMar>
          </w:tcPr>
          <w:p>
            <w:r>
              <w:rPr>
                <w:rFonts w:ascii="Arial" w:cs="Arial" w:eastAsia="Arial" w:hAnsi="Arial"/>
                <w:b/>
                <w:bCs/>
                <w:color w:val="FFFFFF"/>
                <w:sz w:val="18"/>
                <w:szCs w:val="18"/>
              </w:rPr>
              <w:t>Type</w:t>
            </w:r>
          </w:p>
        </w:tc>
        <w:tc>
          <w:tcPr>
            <w:tcW w:type="dxa" w:w="600"/>
            <w:tcBorders>
              <w:top w:color="FFFFFF" w:space="0" w:sz="4" w:val="single"/>
              <w:bottom w:color="FFFFFF" w:space="0" w:sz="4" w:val="single"/>
              <w:left w:color="FFFFFF" w:space="0" w:sz="4" w:val="single"/>
              <w:right w:color="FFFFFF" w:space="0" w:sz="4" w:val="single"/>
            </w:tcBorders>
            <w:shd w:fill="708090" w:val="clear"/>
            <w:tcMar>
              <w:top w:type="dxa" w:w="80"/>
              <w:start w:type="dxa" w:w="120"/>
              <w:bottom w:type="dxa" w:w="80"/>
              <w:end w:type="dxa" w:w="120"/>
            </w:tcMar>
          </w:tcPr>
          <w:p>
            <w:r>
              <w:rPr>
                <w:rFonts w:ascii="Arial" w:cs="Arial" w:eastAsia="Arial" w:hAnsi="Arial"/>
                <w:b/>
                <w:bCs/>
                <w:color w:val="FFFFFF"/>
                <w:sz w:val="18"/>
                <w:szCs w:val="18"/>
              </w:rPr>
              <w:t>Key</w:t>
            </w:r>
          </w:p>
        </w:tc>
        <w:tc>
          <w:tcPr>
            <w:tcW w:type="dxa" w:w="700"/>
            <w:tcBorders>
              <w:top w:color="FFFFFF" w:space="0" w:sz="4" w:val="single"/>
              <w:bottom w:color="FFFFFF" w:space="0" w:sz="4" w:val="single"/>
              <w:left w:color="FFFFFF" w:space="0" w:sz="4" w:val="single"/>
              <w:right w:color="FFFFFF" w:space="0" w:sz="4" w:val="single"/>
            </w:tcBorders>
            <w:shd w:fill="708090" w:val="clear"/>
            <w:tcMar>
              <w:top w:type="dxa" w:w="80"/>
              <w:start w:type="dxa" w:w="120"/>
              <w:bottom w:type="dxa" w:w="80"/>
              <w:end w:type="dxa" w:w="120"/>
            </w:tcMar>
          </w:tcPr>
          <w:p>
            <w:r>
              <w:rPr>
                <w:rFonts w:ascii="Arial" w:cs="Arial" w:eastAsia="Arial" w:hAnsi="Arial"/>
                <w:b/>
                <w:bCs/>
                <w:color w:val="FFFFFF"/>
                <w:sz w:val="18"/>
                <w:szCs w:val="18"/>
              </w:rPr>
              <w:t>Nullable</w:t>
            </w:r>
          </w:p>
        </w:tc>
        <w:tc>
          <w:tcPr>
            <w:tcW w:type="dxa" w:w="5460"/>
            <w:tcBorders>
              <w:top w:color="FFFFFF" w:space="0" w:sz="4" w:val="single"/>
              <w:bottom w:color="FFFFFF" w:space="0" w:sz="4" w:val="single"/>
              <w:left w:color="FFFFFF" w:space="0" w:sz="4" w:val="single"/>
              <w:right w:color="FFFFFF" w:space="0" w:sz="4" w:val="single"/>
            </w:tcBorders>
            <w:shd w:fill="708090" w:val="clear"/>
            <w:tcMar>
              <w:top w:type="dxa" w:w="80"/>
              <w:start w:type="dxa" w:w="120"/>
              <w:bottom w:type="dxa" w:w="80"/>
              <w:end w:type="dxa" w:w="120"/>
            </w:tcMar>
          </w:tcPr>
          <w:p>
            <w:r>
              <w:rPr>
                <w:rFonts w:ascii="Arial" w:cs="Arial" w:eastAsia="Arial" w:hAnsi="Arial"/>
                <w:b/>
                <w:bCs/>
                <w:color w:val="FFFFFF"/>
                <w:sz w:val="18"/>
                <w:szCs w:val="18"/>
              </w:rPr>
              <w:t>Description</w:t>
            </w:r>
          </w:p>
        </w:tc>
      </w:tr>
      <w:tr>
        <w:tc>
          <w:tcPr>
            <w:tcW w:type="dxa" w:w="1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b/>
                <w:bCs/>
                <w:color w:val="CC0000"/>
                <w:sz w:val="18"/>
                <w:szCs w:val="18"/>
              </w:rPr>
              <w:t>date</w:t>
            </w:r>
          </w:p>
        </w:tc>
        <w:tc>
          <w:tcPr>
            <w:tcW w:type="dxa" w:w="10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i/>
                <w:iCs/>
                <w:sz w:val="18"/>
                <w:szCs w:val="18"/>
              </w:rPr>
              <w:t>DATE</w:t>
            </w:r>
          </w:p>
        </w:tc>
        <w:tc>
          <w:tcPr>
            <w:tcW w:type="dxa" w:w="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PK</w:t>
            </w:r>
          </w:p>
        </w:tc>
        <w:tc>
          <w:tcPr>
            <w:tcW w:type="dxa" w:w="7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 xml:space="preserve">Month-end date. Primary key. Aligned to returns data convention (last day of month).</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HEADLINE_CPI_USA</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US Headline CPI inflation rate %. Passed through from bronze.</w:t>
            </w:r>
          </w:p>
        </w:tc>
      </w:tr>
      <w:tr>
        <w:tc>
          <w:tcPr>
            <w:tcW w:type="dxa" w:w="1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color w:val="000000"/>
                <w:sz w:val="18"/>
                <w:szCs w:val="18"/>
              </w:rPr>
              <w:t>CORE_CPI_USA</w:t>
            </w:r>
          </w:p>
        </w:tc>
        <w:tc>
          <w:tcPr>
            <w:tcW w:type="dxa" w:w="10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 xml:space="preserve">US Core CPI index level. Passed through from bronze.</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IR3TIB_USA</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3-month interbank rate. Passed through from bronze.</w:t>
            </w:r>
          </w:p>
        </w:tc>
      </w:tr>
      <w:tr>
        <w:tc>
          <w:tcPr>
            <w:tcW w:type="dxa" w:w="1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color w:val="000000"/>
                <w:sz w:val="18"/>
                <w:szCs w:val="18"/>
              </w:rPr>
              <w:t>IRLT_USA</w:t>
            </w:r>
          </w:p>
        </w:tc>
        <w:tc>
          <w:tcPr>
            <w:tcW w:type="dxa" w:w="10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 xml:space="preserve">10Y Treasury yield (long-term rate). Passed through from bronze.</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IRSTCI_USA</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Overnight/call money rate. Passed through from bronze.</w:t>
            </w:r>
          </w:p>
        </w:tc>
      </w:tr>
      <w:tr>
        <w:tc>
          <w:tcPr>
            <w:tcW w:type="dxa" w:w="1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color w:val="000000"/>
                <w:sz w:val="18"/>
                <w:szCs w:val="18"/>
              </w:rPr>
              <w:t>DGS2_USA</w:t>
            </w:r>
          </w:p>
        </w:tc>
        <w:tc>
          <w:tcPr>
            <w:tcW w:type="dxa" w:w="10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 xml:space="preserve">2-year Treasury yield. Passed through from bronze.</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DIV_YIELD_USA</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S&amp;P 500 dividend yield. Passed through from bronze.</w:t>
            </w:r>
          </w:p>
        </w:tc>
      </w:tr>
      <w:tr>
        <w:tc>
          <w:tcPr>
            <w:tcW w:type="dxa" w:w="1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color w:val="000000"/>
                <w:sz w:val="18"/>
                <w:szCs w:val="18"/>
              </w:rPr>
              <w:t>CREDIT_SPREAD_BAA_USA</w:t>
            </w:r>
          </w:p>
        </w:tc>
        <w:tc>
          <w:tcPr>
            <w:tcW w:type="dxa" w:w="10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YES</w:t>
            </w:r>
          </w:p>
        </w:tc>
        <w:tc>
          <w:tcPr>
            <w:tcW w:type="dxa" w:w="546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 xml:space="preserve">BAA credit spread — month-end daily value from bronze.</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CREDIT_SPREAD_AAA_USA</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YES</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AAA credit spread — month-end daily value from bronze.</w:t>
            </w:r>
          </w:p>
        </w:tc>
      </w:tr>
      <w:tr>
        <w:tc>
          <w:tcPr>
            <w:tcW w:type="dxa" w:w="1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color w:val="000000"/>
                <w:sz w:val="18"/>
                <w:szCs w:val="18"/>
              </w:rPr>
              <w:t>SPREAD_10Y3M_USA</w:t>
            </w:r>
          </w:p>
        </w:tc>
        <w:tc>
          <w:tcPr>
            <w:tcW w:type="dxa" w:w="10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 xml:space="preserve">10Y-3M yield curve spread. Passed through from bronze.</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SPREAD_10Y2Y_USA</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10Y-2Y yield curve spread. Passed through from bronze.</w:t>
            </w:r>
          </w:p>
        </w:tc>
      </w:tr>
      <w:tr>
        <w:tc>
          <w:tcPr>
            <w:tcW w:type="dxa" w:w="1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color w:val="000000"/>
                <w:sz w:val="18"/>
                <w:szCs w:val="18"/>
              </w:rPr>
              <w:t>SPREAD_BAA_AAA_USA</w:t>
            </w:r>
          </w:p>
        </w:tc>
        <w:tc>
          <w:tcPr>
            <w:tcW w:type="dxa" w:w="10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i/>
                <w:iCs/>
                <w:sz w:val="18"/>
                <w:szCs w:val="18"/>
              </w:rPr>
              <w:t>FLOAT</w:t>
            </w:r>
          </w:p>
        </w:tc>
        <w:tc>
          <w:tcPr>
            <w:tcW w:type="dxa" w:w="6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YES</w:t>
            </w:r>
          </w:p>
        </w:tc>
        <w:tc>
          <w:tcPr>
            <w:tcW w:type="dxa" w:w="5460"/>
            <w:tcBorders>
              <w:top w:color="DDDDDD" w:space="0" w:sz="4" w:val="single"/>
              <w:bottom w:color="DDDDDD" w:space="0" w:sz="4" w:val="single"/>
              <w:left w:color="DDDDDD" w:space="0" w:sz="4" w:val="single"/>
              <w:right w:color="DDDDDD" w:space="0" w:sz="4" w:val="single"/>
            </w:tcBorders>
            <w:shd w:fill="DCE6F1" w:val="clear"/>
            <w:tcMar>
              <w:top w:type="dxa" w:w="60"/>
              <w:start w:type="dxa" w:w="120"/>
              <w:bottom w:type="dxa" w:w="60"/>
              <w:end w:type="dxa" w:w="120"/>
            </w:tcMar>
          </w:tcPr>
          <w:p>
            <w:r>
              <w:rPr>
                <w:rFonts w:ascii="Arial" w:cs="Arial" w:eastAsia="Arial" w:hAnsi="Arial"/>
                <w:sz w:val="18"/>
                <w:szCs w:val="18"/>
              </w:rPr>
              <w:t xml:space="preserve">BAA-AAA credit quality spread — month-end from bronze.</w:t>
            </w:r>
          </w:p>
        </w:tc>
      </w:tr>
      <w:tr>
        <w:tc>
          <w:tcPr>
            <w:tcW w:type="dxa" w:w="1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color w:val="000000"/>
                <w:sz w:val="18"/>
                <w:szCs w:val="18"/>
              </w:rPr>
              <w:t>coverage_note</w:t>
            </w:r>
          </w:p>
        </w:tc>
        <w:tc>
          <w:tcPr>
            <w:tcW w:type="dxa" w:w="10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i/>
                <w:iCs/>
                <w:sz w:val="18"/>
                <w:szCs w:val="18"/>
              </w:rPr>
              <w:t>VARCHAR</w:t>
            </w:r>
          </w:p>
        </w:tc>
        <w:tc>
          <w:tcPr>
            <w:tcW w:type="dxa" w:w="6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w:r>
          </w:p>
        </w:tc>
        <w:tc>
          <w:tcPr>
            <w:tcW w:type="dxa" w:w="70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NO</w:t>
            </w:r>
          </w:p>
        </w:tc>
        <w:tc>
          <w:tcPr>
            <w:tcW w:type="dxa" w:w="5460"/>
            <w:tcBorders>
              <w:top w:color="DDDDDD" w:space="0" w:sz="4" w:val="single"/>
              <w:bottom w:color="DDDDDD" w:space="0" w:sz="4" w:val="single"/>
              <w:left w:color="DDDDDD" w:space="0" w:sz="4" w:val="single"/>
              <w:right w:color="DDDDDD" w:space="0" w:sz="4" w:val="single"/>
            </w:tcBorders>
            <w:shd w:fill="FFFFFF" w:val="clear"/>
            <w:tcMar>
              <w:top w:type="dxa" w:w="60"/>
              <w:start w:type="dxa" w:w="120"/>
              <w:bottom w:type="dxa" w:w="60"/>
              <w:end w:type="dxa" w:w="120"/>
            </w:tcMar>
          </w:tcPr>
          <w:p>
            <w:r>
              <w:rPr>
                <w:rFonts w:ascii="Arial" w:cs="Arial" w:eastAsia="Arial" w:hAnsi="Arial"/>
                <w:sz w:val="18"/>
                <w:szCs w:val="18"/>
              </w:rPr>
              <w:t xml:space="preserve">⚠ 2013–2018 only; full 2007–present window pending.</w:t>
            </w:r>
          </w:p>
        </w:tc>
      </w:tr>
    </w:tbl>
    <w:p>
      <w:pPr>
        <w:spacing w:after="160"/>
      </w:pPr>
    </w:p>
    <w:p>
      <w:r>
        <w:br w:type="page"/>
      </w:r>
    </w:p>
    <w:p>
      <w:pPr>
        <w:spacing w:after="0" w:before="240"/>
      </w:pPr>
      <w:r>
        <w:rPr>
          <w:rFonts w:ascii="Arial" w:cs="Arial" w:eastAsia="Arial" w:hAnsi="Arial"/>
          <w:b/>
          <w:bCs/>
          <w:color w:val="4B0082"/>
          <w:sz w:val="28"/>
          <w:szCs w:val="28"/>
        </w:rPr>
        <w:t xml:space="preserve">5.  DIMENSION TABLES — Asset Master &amp; Splice Methodology</w:t>
      </w:r>
    </w:p>
    <w:p>
      <w:pPr>
        <w:spacing w:after="80"/>
      </w:pPr>
    </w:p>
    <w:p>
      <w:pPr>
        <w:spacing w:after="120"/>
      </w:pPr>
      <w:r>
        <w:rPr>
          <w:rFonts w:ascii="Arial" w:cs="Arial" w:eastAsia="Arial" w:hAnsi="Arial"/>
          <w:b w:val="false"/>
          <w:bCs w:val="false"/>
          <w:i w:val="false"/>
          <w:iCs w:val="false"/>
          <w:color w:val="000000"/>
          <w:sz w:val="22"/>
          <w:szCs w:val="22"/>
        </w:rPr>
        <w:t xml:space="preserve">Dimension tables are reference data that do not change frequently. They hold the 'what is this?' information that other tables need. By isolating this in separate tables, you avoid repeating the same label or description thousands of times across the returns history.</w:t>
      </w:r>
    </w:p>
    <w:p>
      <w:pPr>
        <w:spacing w:after="120"/>
      </w:pPr>
    </w:p>
    <w:p>
      <w:pPr>
        <w:pStyle w:val="Heading2"/>
        <w:spacing w:after="120" w:before="280"/>
      </w:pPr>
      <w:r>
        <w:rPr>
          <w:rFonts w:ascii="Arial" w:cs="Arial" w:eastAsia="Arial" w:hAnsi="Arial"/>
          <w:b/>
          <w:bCs/>
          <w:color w:val="4B0082"/>
          <w:sz w:val="26"/>
          <w:szCs w:val="26"/>
        </w:rPr>
        <w:t xml:space="preserve">5.1  dim_asset</w:t>
      </w:r>
    </w:p>
    <w:p>
      <w:pPr>
        <w:spacing w:after="120"/>
      </w:pPr>
      <w:r>
        <w:rPr>
          <w:rFonts w:ascii="Arial" w:cs="Arial" w:eastAsia="Arial" w:hAnsi="Arial"/>
          <w:b w:val="false"/>
          <w:bCs w:val="false"/>
          <w:i w:val="false"/>
          <w:iCs w:val="false"/>
          <w:color w:val="000000"/>
          <w:sz w:val="22"/>
          <w:szCs w:val="22"/>
        </w:rPr>
        <w:t xml:space="preserve">The master asset registry. Every ticker that appears anywhere in the schema must have a corresponding row here. This is the table that defines what is a valid asset in the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0"/>
        <w:gridCol w:w="700"/>
        <w:gridCol w:w="5460"/>
      </w:tblGrid>
      <w:tr>
        <w:trPr>
          <w:tblHeader/>
        </w:trPr>
        <w:tc>
          <w:tcPr>
            <w:tcW w:type="dxa" w:w="1600"/>
            <w:tcBorders>
              <w:top w:val="single" w:color="FFFFFF" w:sz="1"/>
              <w:left w:val="single" w:color="FFFFFF" w:sz="1"/>
              <w:bottom w:val="single" w:color="FFFFFF" w:sz="1"/>
              <w:right w:val="single" w:color="FFFFFF" w:sz="1"/>
            </w:tcBorders>
            <w:shd w:fill="4B0082" w:val="clear"/>
            <w:tcMar>
              <w:top w:type="dxa" w:w="80"/>
              <w:start w:type="dxa" w:w="120"/>
              <w:bottom w:type="dxa" w:w="80"/>
              <w:end w:type="dxa" w:w="120"/>
            </w:tcMar>
          </w:tcPr>
          <w:p>
            <w:r>
              <w:rPr>
                <w:rFonts w:ascii="Arial" w:cs="Arial" w:eastAsia="Arial" w:hAnsi="Arial"/>
                <w:b/>
                <w:bCs/>
                <w:color w:val="FFFFFF"/>
                <w:sz w:val="18"/>
                <w:szCs w:val="18"/>
              </w:rPr>
              <w:t xml:space="preserve">Column</w:t>
            </w:r>
          </w:p>
        </w:tc>
        <w:tc>
          <w:tcPr>
            <w:tcW w:type="dxa" w:w="1000"/>
            <w:tcBorders>
              <w:top w:val="single" w:color="FFFFFF" w:sz="1"/>
              <w:left w:val="single" w:color="FFFFFF" w:sz="1"/>
              <w:bottom w:val="single" w:color="FFFFFF" w:sz="1"/>
              <w:right w:val="single" w:color="FFFFFF" w:sz="1"/>
            </w:tcBorders>
            <w:shd w:fill="4B0082" w:val="clear"/>
            <w:tcMar>
              <w:top w:type="dxa" w:w="80"/>
              <w:start w:type="dxa" w:w="120"/>
              <w:bottom w:type="dxa" w:w="80"/>
              <w:end w:type="dxa" w:w="120"/>
            </w:tcMar>
          </w:tcPr>
          <w:p>
            <w:r>
              <w:rPr>
                <w:rFonts w:ascii="Arial" w:cs="Arial" w:eastAsia="Arial" w:hAnsi="Arial"/>
                <w:b/>
                <w:bCs/>
                <w:color w:val="FFFFFF"/>
                <w:sz w:val="18"/>
                <w:szCs w:val="18"/>
              </w:rPr>
              <w:t xml:space="preserve">Type</w:t>
            </w:r>
          </w:p>
        </w:tc>
        <w:tc>
          <w:tcPr>
            <w:tcW w:type="dxa" w:w="600"/>
            <w:tcBorders>
              <w:top w:val="single" w:color="FFFFFF" w:sz="1"/>
              <w:left w:val="single" w:color="FFFFFF" w:sz="1"/>
              <w:bottom w:val="single" w:color="FFFFFF" w:sz="1"/>
              <w:right w:val="single" w:color="FFFFFF" w:sz="1"/>
            </w:tcBorders>
            <w:shd w:fill="4B0082" w:val="clear"/>
            <w:tcMar>
              <w:top w:type="dxa" w:w="80"/>
              <w:start w:type="dxa" w:w="120"/>
              <w:bottom w:type="dxa" w:w="80"/>
              <w:end w:type="dxa" w:w="120"/>
            </w:tcMar>
          </w:tcPr>
          <w:p>
            <w:r>
              <w:rPr>
                <w:rFonts w:ascii="Arial" w:cs="Arial" w:eastAsia="Arial" w:hAnsi="Arial"/>
                <w:b/>
                <w:bCs/>
                <w:color w:val="FFFFFF"/>
                <w:sz w:val="18"/>
                <w:szCs w:val="18"/>
              </w:rPr>
              <w:t xml:space="preserve">Key</w:t>
            </w:r>
          </w:p>
        </w:tc>
        <w:tc>
          <w:tcPr>
            <w:tcW w:type="dxa" w:w="700"/>
            <w:tcBorders>
              <w:top w:val="single" w:color="FFFFFF" w:sz="1"/>
              <w:left w:val="single" w:color="FFFFFF" w:sz="1"/>
              <w:bottom w:val="single" w:color="FFFFFF" w:sz="1"/>
              <w:right w:val="single" w:color="FFFFFF" w:sz="1"/>
            </w:tcBorders>
            <w:shd w:fill="4B0082" w:val="clear"/>
            <w:tcMar>
              <w:top w:type="dxa" w:w="80"/>
              <w:start w:type="dxa" w:w="120"/>
              <w:bottom w:type="dxa" w:w="80"/>
              <w:end w:type="dxa" w:w="120"/>
            </w:tcMar>
          </w:tcPr>
          <w:p>
            <w:r>
              <w:rPr>
                <w:rFonts w:ascii="Arial" w:cs="Arial" w:eastAsia="Arial" w:hAnsi="Arial"/>
                <w:b/>
                <w:bCs/>
                <w:color w:val="FFFFFF"/>
                <w:sz w:val="18"/>
                <w:szCs w:val="18"/>
              </w:rPr>
              <w:t xml:space="preserve">Nullable</w:t>
            </w:r>
          </w:p>
        </w:tc>
        <w:tc>
          <w:tcPr>
            <w:tcW w:type="dxa" w:w="5460"/>
            <w:tcBorders>
              <w:top w:val="single" w:color="FFFFFF" w:sz="1"/>
              <w:left w:val="single" w:color="FFFFFF" w:sz="1"/>
              <w:bottom w:val="single" w:color="FFFFFF" w:sz="1"/>
              <w:right w:val="single" w:color="FFFFFF" w:sz="1"/>
            </w:tcBorders>
            <w:shd w:fill="4B0082" w:val="clear"/>
            <w:tcMar>
              <w:top w:type="dxa" w:w="80"/>
              <w:start w:type="dxa" w:w="120"/>
              <w:bottom w:type="dxa" w:w="80"/>
              <w:end w:type="dxa" w:w="120"/>
            </w:tcMar>
          </w:tcPr>
          <w:p>
            <w:r>
              <w:rPr>
                <w:rFonts w:ascii="Arial" w:cs="Arial" w:eastAsia="Arial" w:hAnsi="Arial"/>
                <w:b/>
                <w:bCs/>
                <w:color w:val="FFFFFF"/>
                <w:sz w:val="18"/>
                <w:szCs w:val="18"/>
              </w:rPr>
              <w:t xml:space="preserve">Description</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ticker</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VARCHAR</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w:t>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Unique identifier for the asset. For the spliced international bond series, the synthetic ticker INTL_BOND is used rather than BWX or BNDX to signal that it is a constructed series.</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label</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VARCHAR</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Human-readable name suitable for charts and reports. Example: 'US Large Cap (S&amp;P 500)' for SPY.</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asset_class</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VARCHAR</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Broad category: Equity, Bond, or Commodity. Used for portfolio construction constraints and reporting groupings.</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region</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VARCHAR</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Geographic focus: US, International (developed markets), Emerging Markets, or Global. Used for diversification analysis.</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inception_date</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YES</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The ETF's original launch date per yfinance. Determines the theoretical earliest possible data. Note that our pipeline starts at Jan 2007 regardless of inception date.</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is_spliced</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BOOLEAN</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TRUE only for INTL_BOND. Flags that this ticker represents a chain-linked series constructed by the pipeline rather than a single traded instrument.</w:t>
            </w:r>
          </w:p>
        </w:tc>
      </w:tr>
    </w:tbl>
    <w:p>
      <w:pPr>
        <w:spacing w:after="160"/>
      </w:pPr>
    </w:p>
    <w:p>
      <w:pPr>
        <w:pStyle w:val="Heading2"/>
        <w:spacing w:after="120" w:before="280"/>
      </w:pPr>
      <w:r>
        <w:rPr>
          <w:rFonts w:ascii="Arial" w:cs="Arial" w:eastAsia="Arial" w:hAnsi="Arial"/>
          <w:b/>
          <w:bCs/>
          <w:color w:val="4B0082"/>
          <w:sz w:val="26"/>
          <w:szCs w:val="26"/>
        </w:rPr>
        <w:t xml:space="preserve">5.2  dim_splice_candidates</w:t>
      </w:r>
    </w:p>
    <w:p>
      <w:pPr>
        <w:spacing w:after="120"/>
      </w:pPr>
      <w:r>
        <w:rPr>
          <w:rFonts w:ascii="Arial" w:cs="Arial" w:eastAsia="Arial" w:hAnsi="Arial"/>
          <w:b w:val="false"/>
          <w:bCs w:val="false"/>
          <w:i w:val="false"/>
          <w:iCs w:val="false"/>
          <w:color w:val="000000"/>
          <w:sz w:val="22"/>
          <w:szCs w:val="22"/>
        </w:rPr>
        <w:t xml:space="preserve">Documents the splice selection methodology. Before choosing BWX as the pre-2013 component of INTL_BOND, the pipeline evaluated seven candidate instruments against BNDX over a 156-month overlap window. This table stores those evaluation results so the decision is auditable and reproducible.</w:t>
      </w:r>
    </w:p>
    <w:p>
      <w:pPr>
        <w:spacing w:after="80"/>
      </w:pPr>
    </w:p>
    <w:p>
      <w:pPr>
        <w:spacing w:after="120"/>
      </w:pPr>
      <w:r>
        <w:rPr>
          <w:rFonts w:ascii="Arial" w:cs="Arial" w:eastAsia="Arial" w:hAnsi="Arial"/>
          <w:b w:val="false"/>
          <w:bCs w:val="false"/>
          <w:i w:val="false"/>
          <w:iCs w:val="false"/>
          <w:color w:val="000000"/>
          <w:sz w:val="22"/>
          <w:szCs w:val="22"/>
        </w:rPr>
        <w:t xml:space="preserve">The winning candidate (PFORX — PIMCO International Bond, USD-Hedged) had the highest correlation (0.93) and lowest tracking error (1.5% annualized) against BNDX. However, PFORX is an actively managed mutual fund and introduces manager risk. BWX was ultimately chosen as the splice because it is a passive ETF with a transparent methodology, despite slightly lower statistical fit.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0"/>
        <w:gridCol w:w="700"/>
        <w:gridCol w:w="5460"/>
      </w:tblGrid>
      <w:tr>
        <w:trPr>
          <w:tblHeader/>
        </w:trPr>
        <w:tc>
          <w:tcPr>
            <w:tcW w:type="dxa" w:w="1600"/>
            <w:tcBorders>
              <w:top w:val="single" w:color="FFFFFF" w:sz="1"/>
              <w:left w:val="single" w:color="FFFFFF" w:sz="1"/>
              <w:bottom w:val="single" w:color="FFFFFF" w:sz="1"/>
              <w:right w:val="single" w:color="FFFFFF" w:sz="1"/>
            </w:tcBorders>
            <w:shd w:fill="4B0082" w:val="clear"/>
            <w:tcMar>
              <w:top w:type="dxa" w:w="80"/>
              <w:start w:type="dxa" w:w="120"/>
              <w:bottom w:type="dxa" w:w="80"/>
              <w:end w:type="dxa" w:w="120"/>
            </w:tcMar>
          </w:tcPr>
          <w:p>
            <w:r>
              <w:rPr>
                <w:rFonts w:ascii="Arial" w:cs="Arial" w:eastAsia="Arial" w:hAnsi="Arial"/>
                <w:b/>
                <w:bCs/>
                <w:color w:val="FFFFFF"/>
                <w:sz w:val="18"/>
                <w:szCs w:val="18"/>
              </w:rPr>
              <w:t xml:space="preserve">Column</w:t>
            </w:r>
          </w:p>
        </w:tc>
        <w:tc>
          <w:tcPr>
            <w:tcW w:type="dxa" w:w="1000"/>
            <w:tcBorders>
              <w:top w:val="single" w:color="FFFFFF" w:sz="1"/>
              <w:left w:val="single" w:color="FFFFFF" w:sz="1"/>
              <w:bottom w:val="single" w:color="FFFFFF" w:sz="1"/>
              <w:right w:val="single" w:color="FFFFFF" w:sz="1"/>
            </w:tcBorders>
            <w:shd w:fill="4B0082" w:val="clear"/>
            <w:tcMar>
              <w:top w:type="dxa" w:w="80"/>
              <w:start w:type="dxa" w:w="120"/>
              <w:bottom w:type="dxa" w:w="80"/>
              <w:end w:type="dxa" w:w="120"/>
            </w:tcMar>
          </w:tcPr>
          <w:p>
            <w:r>
              <w:rPr>
                <w:rFonts w:ascii="Arial" w:cs="Arial" w:eastAsia="Arial" w:hAnsi="Arial"/>
                <w:b/>
                <w:bCs/>
                <w:color w:val="FFFFFF"/>
                <w:sz w:val="18"/>
                <w:szCs w:val="18"/>
              </w:rPr>
              <w:t xml:space="preserve">Type</w:t>
            </w:r>
          </w:p>
        </w:tc>
        <w:tc>
          <w:tcPr>
            <w:tcW w:type="dxa" w:w="600"/>
            <w:tcBorders>
              <w:top w:val="single" w:color="FFFFFF" w:sz="1"/>
              <w:left w:val="single" w:color="FFFFFF" w:sz="1"/>
              <w:bottom w:val="single" w:color="FFFFFF" w:sz="1"/>
              <w:right w:val="single" w:color="FFFFFF" w:sz="1"/>
            </w:tcBorders>
            <w:shd w:fill="4B0082" w:val="clear"/>
            <w:tcMar>
              <w:top w:type="dxa" w:w="80"/>
              <w:start w:type="dxa" w:w="120"/>
              <w:bottom w:type="dxa" w:w="80"/>
              <w:end w:type="dxa" w:w="120"/>
            </w:tcMar>
          </w:tcPr>
          <w:p>
            <w:r>
              <w:rPr>
                <w:rFonts w:ascii="Arial" w:cs="Arial" w:eastAsia="Arial" w:hAnsi="Arial"/>
                <w:b/>
                <w:bCs/>
                <w:color w:val="FFFFFF"/>
                <w:sz w:val="18"/>
                <w:szCs w:val="18"/>
              </w:rPr>
              <w:t xml:space="preserve">Key</w:t>
            </w:r>
          </w:p>
        </w:tc>
        <w:tc>
          <w:tcPr>
            <w:tcW w:type="dxa" w:w="700"/>
            <w:tcBorders>
              <w:top w:val="single" w:color="FFFFFF" w:sz="1"/>
              <w:left w:val="single" w:color="FFFFFF" w:sz="1"/>
              <w:bottom w:val="single" w:color="FFFFFF" w:sz="1"/>
              <w:right w:val="single" w:color="FFFFFF" w:sz="1"/>
            </w:tcBorders>
            <w:shd w:fill="4B0082" w:val="clear"/>
            <w:tcMar>
              <w:top w:type="dxa" w:w="80"/>
              <w:start w:type="dxa" w:w="120"/>
              <w:bottom w:type="dxa" w:w="80"/>
              <w:end w:type="dxa" w:w="120"/>
            </w:tcMar>
          </w:tcPr>
          <w:p>
            <w:r>
              <w:rPr>
                <w:rFonts w:ascii="Arial" w:cs="Arial" w:eastAsia="Arial" w:hAnsi="Arial"/>
                <w:b/>
                <w:bCs/>
                <w:color w:val="FFFFFF"/>
                <w:sz w:val="18"/>
                <w:szCs w:val="18"/>
              </w:rPr>
              <w:t xml:space="preserve">Nullable</w:t>
            </w:r>
          </w:p>
        </w:tc>
        <w:tc>
          <w:tcPr>
            <w:tcW w:type="dxa" w:w="5460"/>
            <w:tcBorders>
              <w:top w:val="single" w:color="FFFFFF" w:sz="1"/>
              <w:left w:val="single" w:color="FFFFFF" w:sz="1"/>
              <w:bottom w:val="single" w:color="FFFFFF" w:sz="1"/>
              <w:right w:val="single" w:color="FFFFFF" w:sz="1"/>
            </w:tcBorders>
            <w:shd w:fill="4B0082" w:val="clear"/>
            <w:tcMar>
              <w:top w:type="dxa" w:w="80"/>
              <w:start w:type="dxa" w:w="120"/>
              <w:bottom w:type="dxa" w:w="80"/>
              <w:end w:type="dxa" w:w="120"/>
            </w:tcMar>
          </w:tcPr>
          <w:p>
            <w:r>
              <w:rPr>
                <w:rFonts w:ascii="Arial" w:cs="Arial" w:eastAsia="Arial" w:hAnsi="Arial"/>
                <w:b/>
                <w:bCs/>
                <w:color w:val="FFFFFF"/>
                <w:sz w:val="18"/>
                <w:szCs w:val="18"/>
              </w:rPr>
              <w:t xml:space="preserve">Description</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ticker</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VARCHAR</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w:t>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Ticker of the candidate instrument evaluated as a potential splice for INTL_BOND.</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description</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VARCHAR</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Full name and strategy type of the candidate (e.g. 'PIMCO Intl Bond USD-Hedged (mutual fund, active)').</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start_date</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The date from which the overlap window was calculated (earliest common month with BNDX data).</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overlap_months</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INT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Number of months both the candidate and BNDX had data simultaneously. All candidates were evaluated over 156 months.</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correlation</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Pearson correlation of monthly returns vs BNDX over the overlap window. Higher = more similar behavior. PFORX: 0.93, BWX: 0.69.</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r_squared</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R-squared from a linear regression of candidate returns on BNDX returns. Measures what proportion of the candidate's variance is explained by BNDX moves. PFORX: 0.86, BWX: 0.48.</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beta</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Regression beta vs BNDX. A beta of 1.0 means the candidate moves in lockstep with BNDX. BWX beta of 1.44 means it amplifies BNDX moves — partly because it is unhedged and carries FX exposure.</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tracking_err_ann</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Annualized tracking error vs BNDX. Lower means more similar risk profile. PFORX: 1.5%, BWX: 6.4%.</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mean_diff_ann</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Annualized average return difference (candidate minus BNDX). Positive = candidate returned more than BNDX on average. PFORX: +1.07%, BWX: -2.9%.</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vol_ratio</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Ratio of candidate annualized volatility to BNDX annualized volatility. A ratio of 1.0 = identical risk. BWX vol ratio of 2.09 reflects the unhedged FX component adding volatility.</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selected</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BOOLEAN</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TRUE for BWX, the series chosen as the pre-2013 splice. FALSE for all other candidates evaluated but not selected.</w:t>
            </w:r>
          </w:p>
        </w:tc>
      </w:tr>
    </w:tbl>
    <w:p>
      <w:r>
        <w:br w:type="page"/>
      </w:r>
    </w:p>
    <w:p>
      <w:pPr>
        <w:spacing w:after="0" w:before="240"/>
      </w:pPr>
      <w:r>
        <w:rPr>
          <w:rFonts w:ascii="Arial" w:cs="Arial" w:eastAsia="Arial" w:hAnsi="Arial"/>
          <w:b/>
          <w:bCs/>
          <w:color w:val="B8860B"/>
          <w:sz w:val="28"/>
          <w:szCs w:val="28"/>
        </w:rPr>
        <w:t xml:space="preserve">6.  GOLD LAYER — Analysis-Ready Output</w:t>
      </w:r>
    </w:p>
    <w:p>
      <w:pPr>
        <w:spacing w:after="80"/>
      </w:pPr>
    </w:p>
    <w:p>
      <w:pPr>
        <w:spacing w:after="120"/>
      </w:pPr>
      <w:r>
        <w:rPr>
          <w:rFonts w:ascii="Arial" w:cs="Arial" w:eastAsia="Arial" w:hAnsi="Arial"/>
          <w:b w:val="false"/>
          <w:bCs w:val="false"/>
          <w:i w:val="false"/>
          <w:iCs w:val="false"/>
          <w:color w:val="000000"/>
          <w:sz w:val="22"/>
          <w:szCs w:val="22"/>
        </w:rPr>
        <w:t xml:space="preserve">Gold layer tables are the final, polished outputs that the optimizer, dashboard, and reporting layer consume. Data is aligned to a common date window so all assets have identical coverage, NULL values are eliminated, and summary statistics are pre-computed so the optimizer does not need to recalculate them on every run.</w:t>
      </w:r>
    </w:p>
    <w:p>
      <w:pPr>
        <w:spacing w:after="120"/>
      </w:pPr>
    </w:p>
    <w:p>
      <w:pPr>
        <w:pStyle w:val="Heading2"/>
        <w:spacing w:after="120" w:before="280"/>
      </w:pPr>
      <w:r>
        <w:rPr>
          <w:rFonts w:ascii="Arial" w:cs="Arial" w:eastAsia="Arial" w:hAnsi="Arial"/>
          <w:b/>
          <w:bCs/>
          <w:color w:val="B8860B"/>
          <w:sz w:val="26"/>
          <w:szCs w:val="26"/>
        </w:rPr>
        <w:t xml:space="preserve">6.1  gold_returns_aligned</w:t>
      </w:r>
    </w:p>
    <w:p>
      <w:pPr>
        <w:spacing w:after="120"/>
      </w:pPr>
      <w:r>
        <w:rPr>
          <w:rFonts w:ascii="Arial" w:cs="Arial" w:eastAsia="Arial" w:hAnsi="Arial"/>
          <w:b w:val="false"/>
          <w:bCs w:val="false"/>
          <w:i w:val="false"/>
          <w:iCs w:val="false"/>
          <w:color w:val="000000"/>
          <w:sz w:val="22"/>
          <w:szCs w:val="22"/>
        </w:rPr>
        <w:t xml:space="preserve">The primary input table for the portfolio optimizer. Monthly returns for all 9 assets (10 ETFs collapsed to 9 series via the INTL_BOND splice) over a common window of January 2008 to present. Every cell is guaranteed non-NULL. The common start of January 2008 is determined by EMB, the last asset to have sufficient history after the 2007 financial crisis.</w:t>
      </w:r>
    </w:p>
    <w:p>
      <w:pPr>
        <w:spacing w:after="80"/>
      </w:pPr>
    </w:p>
    <w:p>
      <w:pPr>
        <w:spacing w:after="120"/>
      </w:pPr>
      <w:r>
        <w:rPr>
          <w:rFonts w:ascii="Arial" w:cs="Arial" w:eastAsia="Arial" w:hAnsi="Arial"/>
          <w:b w:val="false"/>
          <w:bCs w:val="false"/>
          <w:i w:val="false"/>
          <w:iCs w:val="false"/>
          <w:color w:val="000000"/>
          <w:sz w:val="22"/>
          <w:szCs w:val="22"/>
        </w:rPr>
        <w:t xml:space="preserve">Current coverage: 219 monthly observations per asset (Jan 2008 through Jun 2026).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0"/>
        <w:gridCol w:w="700"/>
        <w:gridCol w:w="5460"/>
      </w:tblGrid>
      <w:tr>
        <w:trPr>
          <w:tblHeader/>
        </w:trPr>
        <w:tc>
          <w:tcPr>
            <w:tcW w:type="dxa" w:w="1600"/>
            <w:tcBorders>
              <w:top w:val="single" w:color="FFFFFF" w:sz="1"/>
              <w:left w:val="single" w:color="FFFFFF" w:sz="1"/>
              <w:bottom w:val="single" w:color="FFFFFF" w:sz="1"/>
              <w:right w:val="single" w:color="FFFFFF" w:sz="1"/>
            </w:tcBorders>
            <w:shd w:fill="B8860B" w:val="clear"/>
            <w:tcMar>
              <w:top w:type="dxa" w:w="80"/>
              <w:start w:type="dxa" w:w="120"/>
              <w:bottom w:type="dxa" w:w="80"/>
              <w:end w:type="dxa" w:w="120"/>
            </w:tcMar>
          </w:tcPr>
          <w:p>
            <w:r>
              <w:rPr>
                <w:rFonts w:ascii="Arial" w:cs="Arial" w:eastAsia="Arial" w:hAnsi="Arial"/>
                <w:b/>
                <w:bCs/>
                <w:color w:val="FFFFFF"/>
                <w:sz w:val="18"/>
                <w:szCs w:val="18"/>
              </w:rPr>
              <w:t xml:space="preserve">Column</w:t>
            </w:r>
          </w:p>
        </w:tc>
        <w:tc>
          <w:tcPr>
            <w:tcW w:type="dxa" w:w="1000"/>
            <w:tcBorders>
              <w:top w:val="single" w:color="FFFFFF" w:sz="1"/>
              <w:left w:val="single" w:color="FFFFFF" w:sz="1"/>
              <w:bottom w:val="single" w:color="FFFFFF" w:sz="1"/>
              <w:right w:val="single" w:color="FFFFFF" w:sz="1"/>
            </w:tcBorders>
            <w:shd w:fill="B8860B" w:val="clear"/>
            <w:tcMar>
              <w:top w:type="dxa" w:w="80"/>
              <w:start w:type="dxa" w:w="120"/>
              <w:bottom w:type="dxa" w:w="80"/>
              <w:end w:type="dxa" w:w="120"/>
            </w:tcMar>
          </w:tcPr>
          <w:p>
            <w:r>
              <w:rPr>
                <w:rFonts w:ascii="Arial" w:cs="Arial" w:eastAsia="Arial" w:hAnsi="Arial"/>
                <w:b/>
                <w:bCs/>
                <w:color w:val="FFFFFF"/>
                <w:sz w:val="18"/>
                <w:szCs w:val="18"/>
              </w:rPr>
              <w:t xml:space="preserve">Type</w:t>
            </w:r>
          </w:p>
        </w:tc>
        <w:tc>
          <w:tcPr>
            <w:tcW w:type="dxa" w:w="600"/>
            <w:tcBorders>
              <w:top w:val="single" w:color="FFFFFF" w:sz="1"/>
              <w:left w:val="single" w:color="FFFFFF" w:sz="1"/>
              <w:bottom w:val="single" w:color="FFFFFF" w:sz="1"/>
              <w:right w:val="single" w:color="FFFFFF" w:sz="1"/>
            </w:tcBorders>
            <w:shd w:fill="B8860B" w:val="clear"/>
            <w:tcMar>
              <w:top w:type="dxa" w:w="80"/>
              <w:start w:type="dxa" w:w="120"/>
              <w:bottom w:type="dxa" w:w="80"/>
              <w:end w:type="dxa" w:w="120"/>
            </w:tcMar>
          </w:tcPr>
          <w:p>
            <w:r>
              <w:rPr>
                <w:rFonts w:ascii="Arial" w:cs="Arial" w:eastAsia="Arial" w:hAnsi="Arial"/>
                <w:b/>
                <w:bCs/>
                <w:color w:val="FFFFFF"/>
                <w:sz w:val="18"/>
                <w:szCs w:val="18"/>
              </w:rPr>
              <w:t xml:space="preserve">Key</w:t>
            </w:r>
          </w:p>
        </w:tc>
        <w:tc>
          <w:tcPr>
            <w:tcW w:type="dxa" w:w="700"/>
            <w:tcBorders>
              <w:top w:val="single" w:color="FFFFFF" w:sz="1"/>
              <w:left w:val="single" w:color="FFFFFF" w:sz="1"/>
              <w:bottom w:val="single" w:color="FFFFFF" w:sz="1"/>
              <w:right w:val="single" w:color="FFFFFF" w:sz="1"/>
            </w:tcBorders>
            <w:shd w:fill="B8860B" w:val="clear"/>
            <w:tcMar>
              <w:top w:type="dxa" w:w="80"/>
              <w:start w:type="dxa" w:w="120"/>
              <w:bottom w:type="dxa" w:w="80"/>
              <w:end w:type="dxa" w:w="120"/>
            </w:tcMar>
          </w:tcPr>
          <w:p>
            <w:r>
              <w:rPr>
                <w:rFonts w:ascii="Arial" w:cs="Arial" w:eastAsia="Arial" w:hAnsi="Arial"/>
                <w:b/>
                <w:bCs/>
                <w:color w:val="FFFFFF"/>
                <w:sz w:val="18"/>
                <w:szCs w:val="18"/>
              </w:rPr>
              <w:t xml:space="preserve">Nullable</w:t>
            </w:r>
          </w:p>
        </w:tc>
        <w:tc>
          <w:tcPr>
            <w:tcW w:type="dxa" w:w="5460"/>
            <w:tcBorders>
              <w:top w:val="single" w:color="FFFFFF" w:sz="1"/>
              <w:left w:val="single" w:color="FFFFFF" w:sz="1"/>
              <w:bottom w:val="single" w:color="FFFFFF" w:sz="1"/>
              <w:right w:val="single" w:color="FFFFFF" w:sz="1"/>
            </w:tcBorders>
            <w:shd w:fill="B8860B" w:val="clear"/>
            <w:tcMar>
              <w:top w:type="dxa" w:w="80"/>
              <w:start w:type="dxa" w:w="120"/>
              <w:bottom w:type="dxa" w:w="80"/>
              <w:end w:type="dxa" w:w="120"/>
            </w:tcMar>
          </w:tcPr>
          <w:p>
            <w:r>
              <w:rPr>
                <w:rFonts w:ascii="Arial" w:cs="Arial" w:eastAsia="Arial" w:hAnsi="Arial"/>
                <w:b/>
                <w:bCs/>
                <w:color w:val="FFFFFF"/>
                <w:sz w:val="18"/>
                <w:szCs w:val="18"/>
              </w:rPr>
              <w:t xml:space="preserve">Description</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date</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w:t>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Month-end date within the aligned window (2008-01-31 to present). Composite PK with ticker.</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ticker</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VARCHAR</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 / FK</w:t>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Asset ticker. FK to dim_asset.ticker. Only assets that have full coverage within the aligned window appear here.</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monthly_return</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Monthly simple return. No NULLs — the aligned window guarantees every asset has a return for every month in this table.</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window_start</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The start date of the aligned window for this series (2008-01-31 for all current assets).</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window_end</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The end date of the aligned window. Updated each time the pipeline runs — effectively the most recent month-end with data.</w:t>
            </w:r>
          </w:p>
        </w:tc>
      </w:tr>
    </w:tbl>
    <w:p>
      <w:pPr>
        <w:spacing w:after="160"/>
      </w:pPr>
    </w:p>
    <w:p>
      <w:pPr>
        <w:pStyle w:val="Heading2"/>
        <w:spacing w:after="120" w:before="280"/>
      </w:pPr>
      <w:r>
        <w:rPr>
          <w:rFonts w:ascii="Arial" w:cs="Arial" w:eastAsia="Arial" w:hAnsi="Arial"/>
          <w:b/>
          <w:bCs/>
          <w:color w:val="B8860B"/>
          <w:sz w:val="26"/>
          <w:szCs w:val="26"/>
        </w:rPr>
        <w:t xml:space="preserve">6.2  gold_summary_stats</w:t>
      </w:r>
    </w:p>
    <w:p>
      <w:pPr>
        <w:spacing w:after="120"/>
      </w:pPr>
      <w:r>
        <w:rPr>
          <w:rFonts w:ascii="Arial" w:cs="Arial" w:eastAsia="Arial" w:hAnsi="Arial"/>
          <w:b w:val="false"/>
          <w:bCs w:val="false"/>
          <w:i w:val="false"/>
          <w:iCs w:val="false"/>
          <w:color w:val="000000"/>
          <w:sz w:val="22"/>
          <w:szCs w:val="22"/>
        </w:rPr>
        <w:t xml:space="preserve">Pre-computed annualized statistics for each asset, calculated over the aligned window. Used by the optimizer for mean-variance calculations and by reporting dashboards for asset comparison. One row per asset.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00"/>
        <w:gridCol w:w="700"/>
        <w:gridCol w:w="5460"/>
      </w:tblGrid>
      <w:tr>
        <w:trPr>
          <w:tblHeader/>
        </w:trPr>
        <w:tc>
          <w:tcPr>
            <w:tcW w:type="dxa" w:w="1600"/>
            <w:tcBorders>
              <w:top w:val="single" w:color="FFFFFF" w:sz="1"/>
              <w:left w:val="single" w:color="FFFFFF" w:sz="1"/>
              <w:bottom w:val="single" w:color="FFFFFF" w:sz="1"/>
              <w:right w:val="single" w:color="FFFFFF" w:sz="1"/>
            </w:tcBorders>
            <w:shd w:fill="B8860B" w:val="clear"/>
            <w:tcMar>
              <w:top w:type="dxa" w:w="80"/>
              <w:start w:type="dxa" w:w="120"/>
              <w:bottom w:type="dxa" w:w="80"/>
              <w:end w:type="dxa" w:w="120"/>
            </w:tcMar>
          </w:tcPr>
          <w:p>
            <w:r>
              <w:rPr>
                <w:rFonts w:ascii="Arial" w:cs="Arial" w:eastAsia="Arial" w:hAnsi="Arial"/>
                <w:b/>
                <w:bCs/>
                <w:color w:val="FFFFFF"/>
                <w:sz w:val="18"/>
                <w:szCs w:val="18"/>
              </w:rPr>
              <w:t xml:space="preserve">Column</w:t>
            </w:r>
          </w:p>
        </w:tc>
        <w:tc>
          <w:tcPr>
            <w:tcW w:type="dxa" w:w="1000"/>
            <w:tcBorders>
              <w:top w:val="single" w:color="FFFFFF" w:sz="1"/>
              <w:left w:val="single" w:color="FFFFFF" w:sz="1"/>
              <w:bottom w:val="single" w:color="FFFFFF" w:sz="1"/>
              <w:right w:val="single" w:color="FFFFFF" w:sz="1"/>
            </w:tcBorders>
            <w:shd w:fill="B8860B" w:val="clear"/>
            <w:tcMar>
              <w:top w:type="dxa" w:w="80"/>
              <w:start w:type="dxa" w:w="120"/>
              <w:bottom w:type="dxa" w:w="80"/>
              <w:end w:type="dxa" w:w="120"/>
            </w:tcMar>
          </w:tcPr>
          <w:p>
            <w:r>
              <w:rPr>
                <w:rFonts w:ascii="Arial" w:cs="Arial" w:eastAsia="Arial" w:hAnsi="Arial"/>
                <w:b/>
                <w:bCs/>
                <w:color w:val="FFFFFF"/>
                <w:sz w:val="18"/>
                <w:szCs w:val="18"/>
              </w:rPr>
              <w:t xml:space="preserve">Type</w:t>
            </w:r>
          </w:p>
        </w:tc>
        <w:tc>
          <w:tcPr>
            <w:tcW w:type="dxa" w:w="600"/>
            <w:tcBorders>
              <w:top w:val="single" w:color="FFFFFF" w:sz="1"/>
              <w:left w:val="single" w:color="FFFFFF" w:sz="1"/>
              <w:bottom w:val="single" w:color="FFFFFF" w:sz="1"/>
              <w:right w:val="single" w:color="FFFFFF" w:sz="1"/>
            </w:tcBorders>
            <w:shd w:fill="B8860B" w:val="clear"/>
            <w:tcMar>
              <w:top w:type="dxa" w:w="80"/>
              <w:start w:type="dxa" w:w="120"/>
              <w:bottom w:type="dxa" w:w="80"/>
              <w:end w:type="dxa" w:w="120"/>
            </w:tcMar>
          </w:tcPr>
          <w:p>
            <w:r>
              <w:rPr>
                <w:rFonts w:ascii="Arial" w:cs="Arial" w:eastAsia="Arial" w:hAnsi="Arial"/>
                <w:b/>
                <w:bCs/>
                <w:color w:val="FFFFFF"/>
                <w:sz w:val="18"/>
                <w:szCs w:val="18"/>
              </w:rPr>
              <w:t xml:space="preserve">Key</w:t>
            </w:r>
          </w:p>
        </w:tc>
        <w:tc>
          <w:tcPr>
            <w:tcW w:type="dxa" w:w="700"/>
            <w:tcBorders>
              <w:top w:val="single" w:color="FFFFFF" w:sz="1"/>
              <w:left w:val="single" w:color="FFFFFF" w:sz="1"/>
              <w:bottom w:val="single" w:color="FFFFFF" w:sz="1"/>
              <w:right w:val="single" w:color="FFFFFF" w:sz="1"/>
            </w:tcBorders>
            <w:shd w:fill="B8860B" w:val="clear"/>
            <w:tcMar>
              <w:top w:type="dxa" w:w="80"/>
              <w:start w:type="dxa" w:w="120"/>
              <w:bottom w:type="dxa" w:w="80"/>
              <w:end w:type="dxa" w:w="120"/>
            </w:tcMar>
          </w:tcPr>
          <w:p>
            <w:r>
              <w:rPr>
                <w:rFonts w:ascii="Arial" w:cs="Arial" w:eastAsia="Arial" w:hAnsi="Arial"/>
                <w:b/>
                <w:bCs/>
                <w:color w:val="FFFFFF"/>
                <w:sz w:val="18"/>
                <w:szCs w:val="18"/>
              </w:rPr>
              <w:t xml:space="preserve">Nullable</w:t>
            </w:r>
          </w:p>
        </w:tc>
        <w:tc>
          <w:tcPr>
            <w:tcW w:type="dxa" w:w="5460"/>
            <w:tcBorders>
              <w:top w:val="single" w:color="FFFFFF" w:sz="1"/>
              <w:left w:val="single" w:color="FFFFFF" w:sz="1"/>
              <w:bottom w:val="single" w:color="FFFFFF" w:sz="1"/>
              <w:right w:val="single" w:color="FFFFFF" w:sz="1"/>
            </w:tcBorders>
            <w:shd w:fill="B8860B" w:val="clear"/>
            <w:tcMar>
              <w:top w:type="dxa" w:w="80"/>
              <w:start w:type="dxa" w:w="120"/>
              <w:bottom w:type="dxa" w:w="80"/>
              <w:end w:type="dxa" w:w="120"/>
            </w:tcMar>
          </w:tcPr>
          <w:p>
            <w:r>
              <w:rPr>
                <w:rFonts w:ascii="Arial" w:cs="Arial" w:eastAsia="Arial" w:hAnsi="Arial"/>
                <w:b/>
                <w:bCs/>
                <w:color w:val="FFFFFF"/>
                <w:sz w:val="18"/>
                <w:szCs w:val="18"/>
              </w:rPr>
              <w:t xml:space="preserve">Description</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ticker</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VARCHAR</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bCs/>
                <w:i w:val="false"/>
                <w:iCs w:val="false"/>
                <w:color w:val="CC0000"/>
                <w:sz w:val="18"/>
                <w:szCs w:val="18"/>
              </w:rPr>
              <w:t xml:space="preserve">PK / FK</w:t>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Asset ticker. Primary key and FK to dim_asset.</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label</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VARCHAR</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Human-readable name. Denormalized from dim_asset here to simplify dashboard queries — avoids a join on every report render.</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ann_return</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Annualized arithmetic return computed as: mean(monthly_return) x 12. Expressed as a decimal (e.g. 0.12 = 12% per year). SPY: 12.0%, DBC: 3.0%.</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ann_vol</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Annualized volatility computed as: std(monthly_return) x sqrt(12). Measures the spread of monthly returns around the mean. SPY: 15.8%, DBC: 19.0%.</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sharpe_ratio</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FLOAT</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Simplified Sharpe ratio = ann_return / ann_vol. Note: no risk-free rate is subtracted in the current version. SPY: 0.76, DBC: 0.16. Higher = better risk-adjusted return.</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observations</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INT</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Count of monthly observations used. Currently 219 for all assets (Jan 2008 through Jun 2026).</w:t>
            </w:r>
          </w:p>
        </w:tc>
      </w:tr>
      <w:tr>
        <w:tc>
          <w:tcPr>
            <w:tcW w:type="dxa" w:w="1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start_date</w:t>
            </w:r>
          </w:p>
        </w:tc>
        <w:tc>
          <w:tcPr>
            <w:tcW w:type="dxa" w:w="10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AFAFA"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First month included in the computation (2008-01-31 for all current assets).</w:t>
            </w:r>
          </w:p>
        </w:tc>
      </w:tr>
      <w:tr>
        <w:tc>
          <w:tcPr>
            <w:tcW w:type="dxa" w:w="1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end_date</w:t>
            </w:r>
          </w:p>
        </w:tc>
        <w:tc>
          <w:tcPr>
            <w:tcW w:type="dxa" w:w="10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iCs/>
                <w:color w:val="000000"/>
                <w:sz w:val="18"/>
                <w:szCs w:val="18"/>
              </w:rPr>
              <w:t xml:space="preserve">DATE</w:t>
            </w:r>
          </w:p>
        </w:tc>
        <w:tc>
          <w:tcPr>
            <w:tcW w:type="dxa" w:w="6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
            </w:r>
          </w:p>
        </w:tc>
        <w:tc>
          <w:tcPr>
            <w:tcW w:type="dxa" w:w="70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NO</w:t>
            </w:r>
          </w:p>
        </w:tc>
        <w:tc>
          <w:tcPr>
            <w:tcW w:type="dxa" w:w="5460"/>
            <w:tcBorders>
              <w:top w:val="single" w:color="DDDDDD" w:sz="1"/>
              <w:left w:val="single" w:color="DDDDDD" w:sz="1"/>
              <w:bottom w:val="single" w:color="DDDDDD" w:sz="1"/>
              <w:right w:val="single" w:color="DDDDDD" w:sz="1"/>
            </w:tcBorders>
            <w:shd w:fill="FFFFFF" w:val="clear"/>
            <w:tcMar>
              <w:top w:type="dxa" w:w="60"/>
              <w:start w:type="dxa" w:w="120"/>
              <w:bottom w:type="dxa" w:w="60"/>
              <w:end w:type="dxa" w:w="120"/>
            </w:tcMar>
          </w:tcPr>
          <w:p>
            <w:r>
              <w:rPr>
                <w:rFonts w:ascii="Arial" w:cs="Arial" w:eastAsia="Arial" w:hAnsi="Arial"/>
                <w:b w:val="false"/>
                <w:bCs w:val="false"/>
                <w:i w:val="false"/>
                <w:iCs w:val="false"/>
                <w:color w:val="000000"/>
                <w:sz w:val="18"/>
                <w:szCs w:val="18"/>
              </w:rPr>
              <w:t xml:space="preserve">Last month included in the computation. Updates with each pipeline run.</w:t>
            </w:r>
          </w:p>
        </w:tc>
      </w:tr>
    </w:tbl>
    <w:p>
      <w:r>
        <w:br w:type="page"/>
      </w:r>
    </w:p>
    <w:p>
      <w:pPr>
        <w:pStyle w:val="Heading1"/>
        <w:pBdr>
          <w:bottom w:val="single" w:color="1F4E79" w:sz="8" w:space="4"/>
        </w:pBdr>
        <w:spacing w:after="180" w:before="360"/>
      </w:pPr>
      <w:r>
        <w:rPr>
          <w:rFonts w:ascii="Arial" w:cs="Arial" w:eastAsia="Arial" w:hAnsi="Arial"/>
          <w:b/>
          <w:bCs/>
          <w:color w:val="000000"/>
          <w:sz w:val="32"/>
          <w:szCs w:val="32"/>
        </w:rPr>
        <w:t xml:space="preserve">7. Key Relationships</w:t>
      </w:r>
    </w:p>
    <w:p>
      <w:pPr>
        <w:spacing w:after="120"/>
      </w:pPr>
      <w:r>
        <w:rPr>
          <w:rFonts w:ascii="Arial" w:cs="Arial" w:eastAsia="Arial" w:hAnsi="Arial"/>
          <w:b w:val="false"/>
          <w:bCs w:val="false"/>
          <w:i w:val="false"/>
          <w:iCs w:val="false"/>
          <w:color w:val="000000"/>
          <w:sz w:val="22"/>
          <w:szCs w:val="22"/>
        </w:rPr>
        <w:t xml:space="preserve">The following relationships tie the schema together. All FK references point to dim_asset.ticker unless stated otherwise.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From Table</w:t>
            </w:r>
          </w:p>
        </w:tc>
        <w:tc>
          <w:tcPr>
            <w:tcW w:type="dxa" w:w="2800"/>
            <w:tcBorders>
              <w:top w:val="single" w:color="FFFFFF" w:sz="1"/>
              <w:left w:val="single" w:color="FFFFFF" w:sz="1"/>
              <w:bottom w:val="single" w:color="FFFFFF" w:sz="1"/>
              <w:right w:val="single" w:color="FFFFFF" w:sz="1"/>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To Table</w:t>
            </w:r>
          </w:p>
        </w:tc>
        <w:tc>
          <w:tcPr>
            <w:tcW w:type="dxa" w:w="3760"/>
            <w:tcBorders>
              <w:top w:val="single" w:color="FFFFFF" w:sz="1"/>
              <w:left w:val="single" w:color="FFFFFF" w:sz="1"/>
              <w:bottom w:val="single" w:color="FFFFFF" w:sz="1"/>
              <w:right w:val="single" w:color="FFFFFF" w:sz="1"/>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Relationship / Notes</w:t>
            </w:r>
          </w:p>
        </w:tc>
      </w:tr>
      <w:tr>
        <w:tc>
          <w:tcPr>
            <w:tcW w:type="dxa" w:w="2800"/>
            <w:tcBorders>
              <w:top w:val="single" w:color="DDDDDD" w:sz="1"/>
              <w:left w:val="single" w:color="DDDDDD" w:sz="1"/>
              <w:bottom w:val="single" w:color="DDDDDD" w:sz="1"/>
              <w:right w:val="single" w:color="DDDDDD" w:sz="1"/>
            </w:tcBorders>
            <w:shd w:fill="FFFFFF" w:val="clear"/>
            <w:tcMar>
              <w:top w:type="dxa" w:w="80"/>
              <w:start w:type="dxa" w:w="120"/>
              <w:bottom w:type="dxa" w:w="80"/>
              <w:end w:type="dxa" w:w="120"/>
            </w:tcMar>
          </w:tcPr>
          <w:p>
            <w:r>
              <w:rPr>
                <w:rFonts w:ascii="Arial" w:cs="Arial" w:eastAsia="Arial" w:hAnsi="Arial"/>
                <w:b/>
                <w:bCs/>
                <w:color w:val="0000CC"/>
                <w:sz w:val="18"/>
                <w:szCs w:val="18"/>
              </w:rPr>
              <w:t xml:space="preserve">silver_prices.ticker</w:t>
            </w:r>
          </w:p>
        </w:tc>
        <w:tc>
          <w:tcPr>
            <w:tcW w:type="dxa" w:w="2800"/>
            <w:tcBorders>
              <w:top w:val="single" w:color="DDDDDD" w:sz="1"/>
              <w:left w:val="single" w:color="DDDDDD" w:sz="1"/>
              <w:bottom w:val="single" w:color="DDDDDD" w:sz="1"/>
              <w:right w:val="single" w:color="DDDDDD" w:sz="1"/>
            </w:tcBorders>
            <w:shd w:fill="FFFFFF" w:val="clear"/>
            <w:tcMar>
              <w:top w:type="dxa" w:w="80"/>
              <w:start w:type="dxa" w:w="120"/>
              <w:bottom w:type="dxa" w:w="80"/>
              <w:end w:type="dxa" w:w="120"/>
            </w:tcMar>
          </w:tcPr>
          <w:p>
            <w:r>
              <w:rPr>
                <w:rFonts w:ascii="Arial" w:cs="Arial" w:eastAsia="Arial" w:hAnsi="Arial"/>
                <w:b/>
                <w:bCs/>
                <w:color w:val="CC0000"/>
                <w:sz w:val="18"/>
                <w:szCs w:val="18"/>
              </w:rPr>
              <w:t xml:space="preserve">dim_asset.ticker</w:t>
            </w:r>
          </w:p>
        </w:tc>
        <w:tc>
          <w:tcPr>
            <w:tcW w:type="dxa" w:w="3760"/>
            <w:tcBorders>
              <w:top w:val="single" w:color="DDDDDD" w:sz="1"/>
              <w:left w:val="single" w:color="DDDDDD" w:sz="1"/>
              <w:bottom w:val="single" w:color="DDDDDD" w:sz="1"/>
              <w:right w:val="single" w:color="DDDDDD" w:sz="1"/>
            </w:tcBorders>
            <w:shd w:fill="FFFFFF" w:val="clear"/>
            <w:tcMar>
              <w:top w:type="dxa" w:w="80"/>
              <w:start w:type="dxa" w:w="120"/>
              <w:bottom w:type="dxa" w:w="80"/>
              <w:end w:type="dxa" w:w="120"/>
            </w:tcMar>
          </w:tcPr>
          <w:p>
            <w:r>
              <w:rPr>
                <w:rFonts w:ascii="Arial" w:cs="Arial" w:eastAsia="Arial" w:hAnsi="Arial"/>
                <w:sz w:val="18"/>
                <w:szCs w:val="18"/>
              </w:rPr>
              <w:t xml:space="preserve">FK — ensures only valid, registered assets appear in cleaned data</w:t>
            </w:r>
          </w:p>
        </w:tc>
      </w:tr>
      <w:tr>
        <w:tc>
          <w:tcPr>
            <w:tcW w:type="dxa" w:w="2800"/>
            <w:tcBorders>
              <w:top w:val="single" w:color="DDDDDD" w:sz="1"/>
              <w:left w:val="single" w:color="DDDDDD" w:sz="1"/>
              <w:bottom w:val="single" w:color="DDDDDD" w:sz="1"/>
              <w:right w:val="single" w:color="DDDDDD" w:sz="1"/>
            </w:tcBorders>
            <w:shd w:fill="FAFAFA" w:val="clear"/>
            <w:tcMar>
              <w:top w:type="dxa" w:w="80"/>
              <w:start w:type="dxa" w:w="120"/>
              <w:bottom w:type="dxa" w:w="80"/>
              <w:end w:type="dxa" w:w="120"/>
            </w:tcMar>
          </w:tcPr>
          <w:p>
            <w:r>
              <w:rPr>
                <w:rFonts w:ascii="Arial" w:cs="Arial" w:eastAsia="Arial" w:hAnsi="Arial"/>
                <w:b/>
                <w:bCs/>
                <w:color w:val="0000CC"/>
                <w:sz w:val="18"/>
                <w:szCs w:val="18"/>
              </w:rPr>
              <w:t xml:space="preserve">silver_returns_full.ticker</w:t>
            </w:r>
          </w:p>
        </w:tc>
        <w:tc>
          <w:tcPr>
            <w:tcW w:type="dxa" w:w="2800"/>
            <w:tcBorders>
              <w:top w:val="single" w:color="DDDDDD" w:sz="1"/>
              <w:left w:val="single" w:color="DDDDDD" w:sz="1"/>
              <w:bottom w:val="single" w:color="DDDDDD" w:sz="1"/>
              <w:right w:val="single" w:color="DDDDDD" w:sz="1"/>
            </w:tcBorders>
            <w:shd w:fill="FAFAFA" w:val="clear"/>
            <w:tcMar>
              <w:top w:type="dxa" w:w="80"/>
              <w:start w:type="dxa" w:w="120"/>
              <w:bottom w:type="dxa" w:w="80"/>
              <w:end w:type="dxa" w:w="120"/>
            </w:tcMar>
          </w:tcPr>
          <w:p>
            <w:r>
              <w:rPr>
                <w:rFonts w:ascii="Arial" w:cs="Arial" w:eastAsia="Arial" w:hAnsi="Arial"/>
                <w:b/>
                <w:bCs/>
                <w:color w:val="CC0000"/>
                <w:sz w:val="18"/>
                <w:szCs w:val="18"/>
              </w:rPr>
              <w:t xml:space="preserve">dim_asset.ticker</w:t>
            </w:r>
          </w:p>
        </w:tc>
        <w:tc>
          <w:tcPr>
            <w:tcW w:type="dxa" w:w="3760"/>
            <w:tcBorders>
              <w:top w:val="single" w:color="DDDDDD" w:sz="1"/>
              <w:left w:val="single" w:color="DDDDDD" w:sz="1"/>
              <w:bottom w:val="single" w:color="DDDDDD" w:sz="1"/>
              <w:right w:val="single" w:color="DDDDDD" w:sz="1"/>
            </w:tcBorders>
            <w:shd w:fill="FAFAFA" w:val="clear"/>
            <w:tcMar>
              <w:top w:type="dxa" w:w="80"/>
              <w:start w:type="dxa" w:w="120"/>
              <w:bottom w:type="dxa" w:w="80"/>
              <w:end w:type="dxa" w:w="120"/>
            </w:tcMar>
          </w:tcPr>
          <w:p>
            <w:r>
              <w:rPr>
                <w:rFonts w:ascii="Arial" w:cs="Arial" w:eastAsia="Arial" w:hAnsi="Arial"/>
                <w:sz w:val="18"/>
                <w:szCs w:val="18"/>
              </w:rPr>
              <w:t xml:space="preserve">FK — same as above for the returns table</w:t>
            </w:r>
          </w:p>
        </w:tc>
      </w:tr>
      <w:tr>
        <w:tc>
          <w:tcPr>
            <w:tcW w:type="dxa" w:w="2800"/>
            <w:tcBorders>
              <w:top w:val="single" w:color="DDDDDD" w:sz="1"/>
              <w:left w:val="single" w:color="DDDDDD" w:sz="1"/>
              <w:bottom w:val="single" w:color="DDDDDD" w:sz="1"/>
              <w:right w:val="single" w:color="DDDDDD" w:sz="1"/>
            </w:tcBorders>
            <w:shd w:fill="FFFFFF" w:val="clear"/>
            <w:tcMar>
              <w:top w:type="dxa" w:w="80"/>
              <w:start w:type="dxa" w:w="120"/>
              <w:bottom w:type="dxa" w:w="80"/>
              <w:end w:type="dxa" w:w="120"/>
            </w:tcMar>
          </w:tcPr>
          <w:p>
            <w:r>
              <w:rPr>
                <w:rFonts w:ascii="Arial" w:cs="Arial" w:eastAsia="Arial" w:hAnsi="Arial"/>
                <w:b/>
                <w:bCs/>
                <w:color w:val="0000CC"/>
                <w:sz w:val="18"/>
                <w:szCs w:val="18"/>
              </w:rPr>
              <w:t xml:space="preserve">silver_data_quality.ticker</w:t>
            </w:r>
          </w:p>
        </w:tc>
        <w:tc>
          <w:tcPr>
            <w:tcW w:type="dxa" w:w="2800"/>
            <w:tcBorders>
              <w:top w:val="single" w:color="DDDDDD" w:sz="1"/>
              <w:left w:val="single" w:color="DDDDDD" w:sz="1"/>
              <w:bottom w:val="single" w:color="DDDDDD" w:sz="1"/>
              <w:right w:val="single" w:color="DDDDDD" w:sz="1"/>
            </w:tcBorders>
            <w:shd w:fill="FFFFFF" w:val="clear"/>
            <w:tcMar>
              <w:top w:type="dxa" w:w="80"/>
              <w:start w:type="dxa" w:w="120"/>
              <w:bottom w:type="dxa" w:w="80"/>
              <w:end w:type="dxa" w:w="120"/>
            </w:tcMar>
          </w:tcPr>
          <w:p>
            <w:r>
              <w:rPr>
                <w:rFonts w:ascii="Arial" w:cs="Arial" w:eastAsia="Arial" w:hAnsi="Arial"/>
                <w:b/>
                <w:bCs/>
                <w:color w:val="CC0000"/>
                <w:sz w:val="18"/>
                <w:szCs w:val="18"/>
              </w:rPr>
              <w:t xml:space="preserve">dim_asset.ticker</w:t>
            </w:r>
          </w:p>
        </w:tc>
        <w:tc>
          <w:tcPr>
            <w:tcW w:type="dxa" w:w="3760"/>
            <w:tcBorders>
              <w:top w:val="single" w:color="DDDDDD" w:sz="1"/>
              <w:left w:val="single" w:color="DDDDDD" w:sz="1"/>
              <w:bottom w:val="single" w:color="DDDDDD" w:sz="1"/>
              <w:right w:val="single" w:color="DDDDDD" w:sz="1"/>
            </w:tcBorders>
            <w:shd w:fill="FFFFFF" w:val="clear"/>
            <w:tcMar>
              <w:top w:type="dxa" w:w="80"/>
              <w:start w:type="dxa" w:w="120"/>
              <w:bottom w:type="dxa" w:w="80"/>
              <w:end w:type="dxa" w:w="120"/>
            </w:tcMar>
          </w:tcPr>
          <w:p>
            <w:r>
              <w:rPr>
                <w:rFonts w:ascii="Arial" w:cs="Arial" w:eastAsia="Arial" w:hAnsi="Arial"/>
                <w:sz w:val="18"/>
                <w:szCs w:val="18"/>
              </w:rPr>
              <w:t xml:space="preserve">FK — quality audit row for each registered asset</w:t>
            </w:r>
          </w:p>
        </w:tc>
      </w:tr>
      <w:tr>
        <w:tc>
          <w:tcPr>
            <w:tcW w:type="dxa" w:w="2800"/>
            <w:tcBorders>
              <w:top w:val="single" w:color="DDDDDD" w:sz="1"/>
              <w:left w:val="single" w:color="DDDDDD" w:sz="1"/>
              <w:bottom w:val="single" w:color="DDDDDD" w:sz="1"/>
              <w:right w:val="single" w:color="DDDDDD" w:sz="1"/>
            </w:tcBorders>
            <w:shd w:fill="FAFAFA" w:val="clear"/>
            <w:tcMar>
              <w:top w:type="dxa" w:w="80"/>
              <w:start w:type="dxa" w:w="120"/>
              <w:bottom w:type="dxa" w:w="80"/>
              <w:end w:type="dxa" w:w="120"/>
            </w:tcMar>
          </w:tcPr>
          <w:p>
            <w:r>
              <w:rPr>
                <w:rFonts w:ascii="Arial" w:cs="Arial" w:eastAsia="Arial" w:hAnsi="Arial"/>
                <w:b/>
                <w:bCs/>
                <w:color w:val="0000CC"/>
                <w:sz w:val="18"/>
                <w:szCs w:val="18"/>
              </w:rPr>
              <w:t xml:space="preserve">gold_returns_aligned.ticker</w:t>
            </w:r>
          </w:p>
        </w:tc>
        <w:tc>
          <w:tcPr>
            <w:tcW w:type="dxa" w:w="2800"/>
            <w:tcBorders>
              <w:top w:val="single" w:color="DDDDDD" w:sz="1"/>
              <w:left w:val="single" w:color="DDDDDD" w:sz="1"/>
              <w:bottom w:val="single" w:color="DDDDDD" w:sz="1"/>
              <w:right w:val="single" w:color="DDDDDD" w:sz="1"/>
            </w:tcBorders>
            <w:shd w:fill="FAFAFA" w:val="clear"/>
            <w:tcMar>
              <w:top w:type="dxa" w:w="80"/>
              <w:start w:type="dxa" w:w="120"/>
              <w:bottom w:type="dxa" w:w="80"/>
              <w:end w:type="dxa" w:w="120"/>
            </w:tcMar>
          </w:tcPr>
          <w:p>
            <w:r>
              <w:rPr>
                <w:rFonts w:ascii="Arial" w:cs="Arial" w:eastAsia="Arial" w:hAnsi="Arial"/>
                <w:b/>
                <w:bCs/>
                <w:color w:val="CC0000"/>
                <w:sz w:val="18"/>
                <w:szCs w:val="18"/>
              </w:rPr>
              <w:t xml:space="preserve">dim_asset.ticker</w:t>
            </w:r>
          </w:p>
        </w:tc>
        <w:tc>
          <w:tcPr>
            <w:tcW w:type="dxa" w:w="3760"/>
            <w:tcBorders>
              <w:top w:val="single" w:color="DDDDDD" w:sz="1"/>
              <w:left w:val="single" w:color="DDDDDD" w:sz="1"/>
              <w:bottom w:val="single" w:color="DDDDDD" w:sz="1"/>
              <w:right w:val="single" w:color="DDDDDD" w:sz="1"/>
            </w:tcBorders>
            <w:shd w:fill="FAFAFA" w:val="clear"/>
            <w:tcMar>
              <w:top w:type="dxa" w:w="80"/>
              <w:start w:type="dxa" w:w="120"/>
              <w:bottom w:type="dxa" w:w="80"/>
              <w:end w:type="dxa" w:w="120"/>
            </w:tcMar>
          </w:tcPr>
          <w:p>
            <w:r>
              <w:rPr>
                <w:rFonts w:ascii="Arial" w:cs="Arial" w:eastAsia="Arial" w:hAnsi="Arial"/>
                <w:sz w:val="18"/>
                <w:szCs w:val="18"/>
              </w:rPr>
              <w:t xml:space="preserve">FK — optimizer only uses assets defined in dim_asset</w:t>
            </w:r>
          </w:p>
        </w:tc>
      </w:tr>
      <w:tr>
        <w:tc>
          <w:tcPr>
            <w:tcW w:type="dxa" w:w="2800"/>
            <w:tcBorders>
              <w:top w:val="single" w:color="DDDDDD" w:sz="1"/>
              <w:left w:val="single" w:color="DDDDDD" w:sz="1"/>
              <w:bottom w:val="single" w:color="DDDDDD" w:sz="1"/>
              <w:right w:val="single" w:color="DDDDDD" w:sz="1"/>
            </w:tcBorders>
            <w:shd w:fill="FFFFFF" w:val="clear"/>
            <w:tcMar>
              <w:top w:type="dxa" w:w="80"/>
              <w:start w:type="dxa" w:w="120"/>
              <w:bottom w:type="dxa" w:w="80"/>
              <w:end w:type="dxa" w:w="120"/>
            </w:tcMar>
          </w:tcPr>
          <w:p>
            <w:r>
              <w:rPr>
                <w:rFonts w:ascii="Arial" w:cs="Arial" w:eastAsia="Arial" w:hAnsi="Arial"/>
                <w:b/>
                <w:bCs/>
                <w:color w:val="0000CC"/>
                <w:sz w:val="18"/>
                <w:szCs w:val="18"/>
              </w:rPr>
              <w:t xml:space="preserve">gold_summary_stats.ticker</w:t>
            </w:r>
          </w:p>
        </w:tc>
        <w:tc>
          <w:tcPr>
            <w:tcW w:type="dxa" w:w="2800"/>
            <w:tcBorders>
              <w:top w:val="single" w:color="DDDDDD" w:sz="1"/>
              <w:left w:val="single" w:color="DDDDDD" w:sz="1"/>
              <w:bottom w:val="single" w:color="DDDDDD" w:sz="1"/>
              <w:right w:val="single" w:color="DDDDDD" w:sz="1"/>
            </w:tcBorders>
            <w:shd w:fill="FFFFFF" w:val="clear"/>
            <w:tcMar>
              <w:top w:type="dxa" w:w="80"/>
              <w:start w:type="dxa" w:w="120"/>
              <w:bottom w:type="dxa" w:w="80"/>
              <w:end w:type="dxa" w:w="120"/>
            </w:tcMar>
          </w:tcPr>
          <w:p>
            <w:r>
              <w:rPr>
                <w:rFonts w:ascii="Arial" w:cs="Arial" w:eastAsia="Arial" w:hAnsi="Arial"/>
                <w:b/>
                <w:bCs/>
                <w:color w:val="CC0000"/>
                <w:sz w:val="18"/>
                <w:szCs w:val="18"/>
              </w:rPr>
              <w:t xml:space="preserve">dim_asset.ticker</w:t>
            </w:r>
          </w:p>
        </w:tc>
        <w:tc>
          <w:tcPr>
            <w:tcW w:type="dxa" w:w="3760"/>
            <w:tcBorders>
              <w:top w:val="single" w:color="DDDDDD" w:sz="1"/>
              <w:left w:val="single" w:color="DDDDDD" w:sz="1"/>
              <w:bottom w:val="single" w:color="DDDDDD" w:sz="1"/>
              <w:right w:val="single" w:color="DDDDDD" w:sz="1"/>
            </w:tcBorders>
            <w:shd w:fill="FFFFFF" w:val="clear"/>
            <w:tcMar>
              <w:top w:type="dxa" w:w="80"/>
              <w:start w:type="dxa" w:w="120"/>
              <w:bottom w:type="dxa" w:w="80"/>
              <w:end w:type="dxa" w:w="120"/>
            </w:tcMar>
          </w:tcPr>
          <w:p>
            <w:r>
              <w:rPr>
                <w:rFonts w:ascii="Arial" w:cs="Arial" w:eastAsia="Arial" w:hAnsi="Arial"/>
                <w:sz w:val="18"/>
                <w:szCs w:val="18"/>
              </w:rPr>
              <w:t xml:space="preserve">FK — stats rows tied to registered assets</w:t>
            </w:r>
          </w:p>
        </w:tc>
      </w:tr>
      <w:tr>
        <w:tc>
          <w:tcPr>
            <w:tcW w:type="dxa" w:w="2800"/>
            <w:tcBorders>
              <w:top w:val="single" w:color="DDDDDD" w:sz="1"/>
              <w:left w:val="single" w:color="DDDDDD" w:sz="1"/>
              <w:bottom w:val="single" w:color="DDDDDD" w:sz="1"/>
              <w:right w:val="single" w:color="DDDDDD" w:sz="1"/>
            </w:tcBorders>
            <w:shd w:fill="FAFAFA" w:val="clear"/>
            <w:tcMar>
              <w:top w:type="dxa" w:w="80"/>
              <w:start w:type="dxa" w:w="120"/>
              <w:bottom w:type="dxa" w:w="80"/>
              <w:end w:type="dxa" w:w="120"/>
            </w:tcMar>
          </w:tcPr>
          <w:p>
            <w:r>
              <w:rPr>
                <w:rFonts w:ascii="Arial" w:cs="Arial" w:eastAsia="Arial" w:hAnsi="Arial"/>
                <w:b/>
                <w:bCs/>
                <w:color w:val="0000CC"/>
                <w:sz w:val="18"/>
                <w:szCs w:val="18"/>
              </w:rPr>
              <w:t xml:space="preserve">silver_pmi_composite</w:t>
            </w:r>
          </w:p>
        </w:tc>
        <w:tc>
          <w:tcPr>
            <w:tcW w:type="dxa" w:w="2800"/>
            <w:tcBorders>
              <w:top w:val="single" w:color="DDDDDD" w:sz="1"/>
              <w:left w:val="single" w:color="DDDDDD" w:sz="1"/>
              <w:bottom w:val="single" w:color="DDDDDD" w:sz="1"/>
              <w:right w:val="single" w:color="DDDDDD" w:sz="1"/>
            </w:tcBorders>
            <w:shd w:fill="FAFAFA" w:val="clear"/>
            <w:tcMar>
              <w:top w:type="dxa" w:w="80"/>
              <w:start w:type="dxa" w:w="120"/>
              <w:bottom w:type="dxa" w:w="80"/>
              <w:end w:type="dxa" w:w="120"/>
            </w:tcMar>
          </w:tcPr>
          <w:p>
            <w:r>
              <w:rPr>
                <w:rFonts w:ascii="Arial" w:cs="Arial" w:eastAsia="Arial" w:hAnsi="Arial"/>
                <w:b/>
                <w:bCs/>
                <w:color w:val="CC0000"/>
                <w:sz w:val="18"/>
                <w:szCs w:val="18"/>
              </w:rPr>
              <w:t xml:space="preserve">(none)</w:t>
            </w:r>
          </w:p>
        </w:tc>
        <w:tc>
          <w:tcPr>
            <w:tcW w:type="dxa" w:w="3760"/>
            <w:tcBorders>
              <w:top w:val="single" w:color="DDDDDD" w:sz="1"/>
              <w:left w:val="single" w:color="DDDDDD" w:sz="1"/>
              <w:bottom w:val="single" w:color="DDDDDD" w:sz="1"/>
              <w:right w:val="single" w:color="DDDDDD" w:sz="1"/>
            </w:tcBorders>
            <w:shd w:fill="FAFAFA" w:val="clear"/>
            <w:tcMar>
              <w:top w:type="dxa" w:w="80"/>
              <w:start w:type="dxa" w:w="120"/>
              <w:bottom w:type="dxa" w:w="80"/>
              <w:end w:type="dxa" w:w="120"/>
            </w:tcMar>
          </w:tcPr>
          <w:p>
            <w:r>
              <w:rPr>
                <w:rFonts w:ascii="Arial" w:cs="Arial" w:eastAsia="Arial" w:hAnsi="Arial"/>
                <w:sz w:val="18"/>
                <w:szCs w:val="18"/>
              </w:rPr>
              <w:t xml:space="preserve">Independent — PMI is economy-wide, not joined to any asset</w:t>
            </w:r>
          </w:p>
        </w:tc>
      </w:tr>
      <w:tr>
        <w:tc>
          <w:tcPr>
            <w:tcW w:type="dxa" w:w="2800"/>
            <w:tcBorders>
              <w:top w:val="single" w:color="DDDDDD" w:sz="1"/>
              <w:left w:val="single" w:color="DDDDDD" w:sz="1"/>
              <w:bottom w:val="single" w:color="DDDDDD" w:sz="1"/>
              <w:right w:val="single" w:color="DDDDDD" w:sz="1"/>
            </w:tcBorders>
            <w:shd w:fill="FFFFFF" w:val="clear"/>
            <w:tcMar>
              <w:top w:type="dxa" w:w="80"/>
              <w:start w:type="dxa" w:w="120"/>
              <w:bottom w:type="dxa" w:w="80"/>
              <w:end w:type="dxa" w:w="120"/>
            </w:tcMar>
          </w:tcPr>
          <w:p>
            <w:r>
              <w:rPr>
                <w:rFonts w:ascii="Arial" w:cs="Arial" w:eastAsia="Arial" w:hAnsi="Arial"/>
                <w:b/>
                <w:bCs/>
                <w:color w:val="0000CC"/>
                <w:sz w:val="18"/>
                <w:szCs w:val="18"/>
              </w:rPr>
              <w:t xml:space="preserve">bronze_* tables</w:t>
            </w:r>
          </w:p>
        </w:tc>
        <w:tc>
          <w:tcPr>
            <w:tcW w:type="dxa" w:w="2800"/>
            <w:tcBorders>
              <w:top w:val="single" w:color="DDDDDD" w:sz="1"/>
              <w:left w:val="single" w:color="DDDDDD" w:sz="1"/>
              <w:bottom w:val="single" w:color="DDDDDD" w:sz="1"/>
              <w:right w:val="single" w:color="DDDDDD" w:sz="1"/>
            </w:tcBorders>
            <w:shd w:fill="FFFFFF" w:val="clear"/>
            <w:tcMar>
              <w:top w:type="dxa" w:w="80"/>
              <w:start w:type="dxa" w:w="120"/>
              <w:bottom w:type="dxa" w:w="80"/>
              <w:end w:type="dxa" w:w="120"/>
            </w:tcMar>
          </w:tcPr>
          <w:p>
            <w:r>
              <w:rPr>
                <w:rFonts w:ascii="Arial" w:cs="Arial" w:eastAsia="Arial" w:hAnsi="Arial"/>
                <w:b/>
                <w:bCs/>
                <w:color w:val="CC0000"/>
                <w:sz w:val="18"/>
                <w:szCs w:val="18"/>
              </w:rPr>
              <w:t xml:space="preserve">(none)</w:t>
            </w:r>
          </w:p>
        </w:tc>
        <w:tc>
          <w:tcPr>
            <w:tcW w:type="dxa" w:w="3760"/>
            <w:tcBorders>
              <w:top w:val="single" w:color="DDDDDD" w:sz="1"/>
              <w:left w:val="single" w:color="DDDDDD" w:sz="1"/>
              <w:bottom w:val="single" w:color="DDDDDD" w:sz="1"/>
              <w:right w:val="single" w:color="DDDDDD" w:sz="1"/>
            </w:tcBorders>
            <w:shd w:fill="FFFFFF" w:val="clear"/>
            <w:tcMar>
              <w:top w:type="dxa" w:w="80"/>
              <w:start w:type="dxa" w:w="120"/>
              <w:bottom w:type="dxa" w:w="80"/>
              <w:end w:type="dxa" w:w="120"/>
            </w:tcMar>
          </w:tcPr>
          <w:p>
            <w:r>
              <w:rPr>
                <w:rFonts w:ascii="Arial" w:cs="Arial" w:eastAsia="Arial" w:hAnsi="Arial"/>
                <w:sz w:val="18"/>
                <w:szCs w:val="18"/>
              </w:rPr>
              <w:t xml:space="preserve">No FK constraints — raw layer intentionally unconstrained</w:t>
            </w:r>
          </w:p>
        </w:tc>
      </w:tr>
    </w:tbl>
    <w:p>
      <w:pPr>
        <w:spacing w:after="160"/>
      </w:pPr>
    </w:p>
    <w:p>
      <w:pPr>
        <w:pStyle w:val="Heading1"/>
        <w:pBdr>
          <w:bottom w:val="single" w:color="1F4E79" w:sz="8" w:space="4"/>
        </w:pBdr>
        <w:spacing w:after="180" w:before="360"/>
      </w:pPr>
      <w:r>
        <w:rPr>
          <w:rFonts w:ascii="Arial" w:cs="Arial" w:eastAsia="Arial" w:hAnsi="Arial"/>
          <w:b/>
          <w:bCs/>
          <w:color w:val="000000"/>
          <w:sz w:val="32"/>
          <w:szCs w:val="32"/>
        </w:rPr>
        <w:t xml:space="preserve">8. Important Data Notes</w:t>
      </w:r>
    </w:p>
    <w:p>
      <w:pPr>
        <w:pStyle w:val="Heading2"/>
        <w:spacing w:after="120" w:before="280"/>
      </w:pPr>
      <w:r>
        <w:rPr>
          <w:rFonts w:ascii="Arial" w:cs="Arial" w:eastAsia="Arial" w:hAnsi="Arial"/>
          <w:b/>
          <w:bCs/>
          <w:color w:val="1F4E79"/>
          <w:sz w:val="26"/>
          <w:szCs w:val="26"/>
        </w:rPr>
        <w:t xml:space="preserve">8.1  The INTL_BOND Splice</w:t>
      </w:r>
    </w:p>
    <w:p>
      <w:pPr>
        <w:spacing w:after="120"/>
      </w:pPr>
      <w:r>
        <w:rPr>
          <w:rFonts w:ascii="Arial" w:cs="Arial" w:eastAsia="Arial" w:hAnsi="Arial"/>
          <w:b w:val="false"/>
          <w:bCs w:val="false"/>
          <w:i w:val="false"/>
          <w:iCs w:val="false"/>
          <w:color w:val="000000"/>
          <w:sz w:val="22"/>
          <w:szCs w:val="22"/>
        </w:rPr>
        <w:t xml:space="preserve">No single ETF covers the full 2007-to-present international bond history needed by the optimizer. The pipeline constructs INTL_BOND as a chain-linked series:</w:t>
      </w:r>
    </w:p>
    <w:p>
      <w:pPr>
        <w:pStyle w:val="ListParagraph"/>
        <w:numPr>
          <w:ilvl w:val="0"/>
          <w:numId w:val="2"/>
        </w:numPr>
        <w:spacing w:after="80"/>
      </w:pPr>
      <w:r>
        <w:rPr>
          <w:rFonts w:ascii="Arial" w:cs="Arial" w:eastAsia="Arial" w:hAnsi="Arial"/>
          <w:b w:val="false"/>
          <w:bCs w:val="false"/>
          <w:color w:val="000000"/>
          <w:sz w:val="20"/>
          <w:szCs w:val="20"/>
        </w:rPr>
        <w:t xml:space="preserve">Pre-July 2013: BWX (SPDR Bloomberg International Treasury Bond ETF) — unhedged, meaning foreign currency moves affect the return.</w:t>
      </w:r>
    </w:p>
    <w:p>
      <w:pPr>
        <w:pStyle w:val="ListParagraph"/>
        <w:numPr>
          <w:ilvl w:val="0"/>
          <w:numId w:val="2"/>
        </w:numPr>
        <w:spacing w:after="80"/>
      </w:pPr>
      <w:r>
        <w:rPr>
          <w:rFonts w:ascii="Arial" w:cs="Arial" w:eastAsia="Arial" w:hAnsi="Arial"/>
          <w:b w:val="false"/>
          <w:bCs w:val="false"/>
          <w:color w:val="000000"/>
          <w:sz w:val="20"/>
          <w:szCs w:val="20"/>
        </w:rPr>
        <w:t xml:space="preserve">July 2013 onward: BNDX (Vanguard Total International Bond, USD-hedged) — currency risk is hedged away.</w:t>
      </w:r>
    </w:p>
    <w:p>
      <w:pPr>
        <w:spacing w:after="120"/>
      </w:pPr>
      <w:r>
        <w:rPr>
          <w:rFonts w:ascii="Arial" w:cs="Arial" w:eastAsia="Arial" w:hAnsi="Arial"/>
          <w:b w:val="false"/>
          <w:bCs w:val="false"/>
          <w:i w:val="false"/>
          <w:iCs w:val="false"/>
          <w:color w:val="000000"/>
          <w:sz w:val="22"/>
          <w:szCs w:val="22"/>
        </w:rPr>
        <w:t xml:space="preserve">This creates a methodological discontinuity at the splice point. Returns before 2013 contain FX exposure; returns after do not. Any analysis that spans the splice boundary (such as the full 2008-2026 backtest) should note this in its methodology section.</w:t>
      </w:r>
    </w:p>
    <w:p>
      <w:pPr>
        <w:spacing w:after="80"/>
      </w:pPr>
    </w:p>
    <w:p>
      <w:pPr>
        <w:pStyle w:val="Heading2"/>
        <w:spacing w:after="120" w:before="280"/>
      </w:pPr>
      <w:r>
        <w:rPr>
          <w:rFonts w:ascii="Arial" w:cs="Arial" w:eastAsia="Arial" w:hAnsi="Arial"/>
          <w:b/>
          <w:bCs/>
          <w:color w:val="1F4E79"/>
          <w:sz w:val="26"/>
          <w:szCs w:val="26"/>
        </w:rPr>
        <w:t xml:space="preserve">8.2  EMB Start Date</w:t>
      </w:r>
    </w:p>
    <w:p>
      <w:pPr>
        <w:spacing w:after="120"/>
      </w:pPr>
      <w:r>
        <w:rPr>
          <w:rFonts w:ascii="Arial" w:cs="Arial" w:eastAsia="Arial" w:hAnsi="Arial"/>
          <w:b w:val="false"/>
          <w:bCs w:val="false"/>
          <w:i w:val="false"/>
          <w:iCs w:val="false"/>
          <w:color w:val="000000"/>
          <w:sz w:val="22"/>
          <w:szCs w:val="22"/>
        </w:rPr>
        <w:t xml:space="preserve">EMB (Emerging Market Bonds) did not have sufficient history until January 2008. This is why the aligned gold window starts at January 2008, not January 2007. If EMB is excluded from the optimizer universe, the window could be extended back to February 2007.</w:t>
      </w:r>
    </w:p>
    <w:p>
      <w:pPr>
        <w:spacing w:after="80"/>
      </w:pPr>
    </w:p>
    <w:p>
      <w:pPr>
        <w:pStyle w:val="Heading2"/>
        <w:spacing w:after="120" w:before="280"/>
      </w:pPr>
      <w:r>
        <w:rPr>
          <w:rFonts w:ascii="Arial" w:cs="Arial" w:eastAsia="Arial" w:hAnsi="Arial"/>
          <w:b/>
          <w:bCs/>
          <w:color w:val="1F4E79"/>
          <w:sz w:val="26"/>
          <w:szCs w:val="26"/>
        </w:rPr>
        <w:t xml:space="preserve">8.3  PMI Date Convention</w:t>
      </w:r>
    </w:p>
    <w:p>
      <w:pPr>
        <w:spacing w:after="120"/>
      </w:pPr>
      <w:r>
        <w:rPr>
          <w:rFonts w:ascii="Arial" w:cs="Arial" w:eastAsia="Arial" w:hAnsi="Arial"/>
          <w:b w:val="false"/>
          <w:bCs w:val="false"/>
          <w:i w:val="false"/>
          <w:iCs w:val="false"/>
          <w:color w:val="000000"/>
          <w:sz w:val="22"/>
          <w:szCs w:val="22"/>
        </w:rPr>
        <w:t xml:space="preserve">Bronze PMI dates use the first of the month (e.g. 2007-01-01) while price/return dates use month-end (e.g. 2007-01-31). When joining PMI data to returns data, align by year and month, not by exact date.</w:t>
      </w:r>
    </w:p>
    <w:p>
      <w:pPr>
        <w:spacing w:after="80"/>
      </w:pPr>
    </w:p>
    <w:p>
      <w:pPr>
        <w:pStyle w:val="Heading2"/>
        <w:spacing w:after="120" w:before="280"/>
      </w:pPr>
      <w:r>
        <w:rPr>
          <w:rFonts w:ascii="Arial" w:cs="Arial" w:eastAsia="Arial" w:hAnsi="Arial"/>
          <w:b/>
          <w:bCs/>
          <w:color w:val="1F4E79"/>
          <w:sz w:val="26"/>
          <w:szCs w:val="26"/>
        </w:rPr>
        <w:t xml:space="preserve">8.4  Sharpe Ratio Simplification</w:t>
      </w:r>
    </w:p>
    <w:p>
      <w:pPr>
        <w:spacing w:after="120"/>
      </w:pPr>
      <w:r>
        <w:rPr>
          <w:rFonts w:ascii="Arial" w:cs="Arial" w:eastAsia="Arial" w:hAnsi="Arial"/>
          <w:b w:val="false"/>
          <w:bCs w:val="false"/>
          <w:i w:val="false"/>
          <w:iCs w:val="false"/>
          <w:color w:val="000000"/>
          <w:sz w:val="22"/>
          <w:szCs w:val="22"/>
        </w:rPr>
        <w:t xml:space="preserve">The Sharpe ratios in gold_summary_stats do not subtract a risk-free rate. This is a simplification appropriate for relative ranking of assets but not for absolute evaluation. If a risk-free rate benchmark (e.g. 3-month T-Bill) is added to the system in the future, the Sharpe calculation in the pipeline should be updated accordingly.</w:t>
      </w:r>
    </w:p>
    <w:p>
      <w:pPr>
        <w:spacing w:after="240"/>
      </w:pPr>
    </w:p>
    <w:p>
      <w:pPr>
        <w:pBdr>
          <w:top w:val="single" w:color="CCCCCC" w:sz="4" w:space="4"/>
        </w:pBdr>
        <w:spacing w:after="0"/>
        <w:jc w:val="center"/>
      </w:pPr>
      <w:r>
        <w:rPr>
          <w:rFonts w:ascii="Arial" w:cs="Arial" w:eastAsia="Arial" w:hAnsi="Arial"/>
          <w:i/>
          <w:iCs/>
          <w:color w:val="888888"/>
          <w:sz w:val="18"/>
          <w:szCs w:val="18"/>
        </w:rPr>
        <w:t xml:space="preserve">End of Document — Macro Portfolio Optimizer Schema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360"/>
      </w:tabs>
    </w:pPr>
    <w:r>
      <w:rPr>
        <w:rFonts w:ascii="Arial" w:cs="Arial" w:eastAsia="Arial" w:hAnsi="Arial"/>
        <w:color w:val="555555"/>
        <w:sz w:val="18"/>
        <w:szCs w:val="18"/>
      </w:rPr>
      <w:t xml:space="preserve">Macro Portfolio Optimizer — Database Schema Documentation</w:t>
    </w:r>
    <w:r>
      <w:rPr>
        <w:rFonts w:ascii="Arial" w:cs="Arial" w:eastAsia="Arial" w:hAnsi="Arial"/>
        <w:color w:val="555555"/>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2026-06-03T19:23:24.377Z</dcterms:created>
  <dcterms:modified xsi:type="dcterms:W3CDTF">2026-06-03T19:23:24.377Z</dcterms:modified>
</cp:coreProperties>
</file>

<file path=docProps/custom.xml><?xml version="1.0" encoding="utf-8"?>
<Properties xmlns="http://schemas.openxmlformats.org/officeDocument/2006/custom-properties" xmlns:vt="http://schemas.openxmlformats.org/officeDocument/2006/docPropsVTypes"/>
</file>