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-2526--серия-заданий-3-llmops--recsys"/>
    <w:p>
      <w:pPr>
        <w:pStyle w:val="Heading1"/>
      </w:pPr>
      <w:r>
        <w:t xml:space="preserve">SE 25/26 — Серия заданий 3 (LLMOps + RecSys)</w: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В работе реализован учебный проект, объединяющий практики</w:t>
      </w:r>
      <w:r>
        <w:t xml:space="preserve"> </w:t>
      </w:r>
      <w:r>
        <w:rPr>
          <w:b/>
          <w:bCs/>
        </w:rPr>
        <w:t xml:space="preserve">LLMOps (observability)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рекомендательные системы</w:t>
      </w:r>
      <w:r>
        <w:t xml:space="preserve">.</w:t>
      </w:r>
      <w:r>
        <w:t xml:space="preserve"> </w:t>
      </w:r>
      <w:r>
        <w:t xml:space="preserve">Цели:</w:t>
      </w:r>
    </w:p>
    <w:p>
      <w:pPr>
        <w:pStyle w:val="Compact"/>
        <w:numPr>
          <w:ilvl w:val="0"/>
          <w:numId w:val="1001"/>
        </w:numPr>
      </w:pPr>
      <w:r>
        <w:t xml:space="preserve">Сравнить решения для LLM observability (Langfuse, Langtrace, OpenLLMetry).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мониторинг для ИИ-агента: логи, метрики, трейсы, LLM-метрики (tokens, latency, prompt versioning).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рекомендательную систему на MovieLens 100k: content-based, collaborative filtering, hybrid, эвристики и Two-Tower модель.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прод-риски и метрики качества.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часть-1--llmops-observability"/>
    <w:p>
      <w:pPr>
        <w:pStyle w:val="Heading1"/>
      </w:pPr>
      <w:r>
        <w:t xml:space="preserve">ЧАСТЬ 1 — LLMOps (Observability)</w:t>
      </w:r>
    </w:p>
    <w:bookmarkStart w:id="14" w:name="X874c096d216cbe49d43ff840784f7aa61193d50"/>
    <w:p>
      <w:pPr>
        <w:pStyle w:val="Heading2"/>
      </w:pPr>
      <w:r>
        <w:t xml:space="preserve">1.1 Обзор LLM Observability решений</w:t>
      </w:r>
    </w:p>
    <w:bookmarkStart w:id="11" w:name="X4190ec86b0ee7b8c4b6084327960055788ac96a"/>
    <w:p>
      <w:pPr>
        <w:pStyle w:val="Heading3"/>
      </w:pPr>
      <w:r>
        <w:t xml:space="preserve">1) Langfuse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open-source платформа для наблюдаемости LLM приложений (prompts, traces, evaluations, datasets).</w:t>
      </w:r>
      <w:r>
        <w:t xml:space="preserve"> </w:t>
      </w:r>
      <w:r>
        <w:rPr>
          <w:b/>
          <w:bCs/>
        </w:rPr>
        <w:t xml:space="preserve">Сильные стороны:</w:t>
      </w:r>
    </w:p>
    <w:p>
      <w:pPr>
        <w:pStyle w:val="Compact"/>
        <w:numPr>
          <w:ilvl w:val="0"/>
          <w:numId w:val="1002"/>
        </w:numPr>
      </w:pPr>
      <w:r>
        <w:t xml:space="preserve">Отличная поддержка LLM-специфичных сущностей: prompt versioning, tracing, cost/tokens.</w:t>
      </w:r>
    </w:p>
    <w:p>
      <w:pPr>
        <w:pStyle w:val="Compact"/>
        <w:numPr>
          <w:ilvl w:val="0"/>
          <w:numId w:val="1002"/>
        </w:numPr>
      </w:pPr>
      <w:r>
        <w:t xml:space="preserve">Подходит для self-hosted (Docker).</w:t>
      </w:r>
    </w:p>
    <w:p>
      <w:pPr>
        <w:pStyle w:val="Compact"/>
        <w:numPr>
          <w:ilvl w:val="0"/>
          <w:numId w:val="1002"/>
        </w:numPr>
      </w:pPr>
      <w:r>
        <w:t xml:space="preserve">Удобные дашборды для анализа качества и поведения.</w:t>
      </w:r>
    </w:p>
    <w:p>
      <w:pPr>
        <w:pStyle w:val="FirstParagraph"/>
      </w:pP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03"/>
        </w:numPr>
      </w:pPr>
      <w:r>
        <w:t xml:space="preserve">Self-host обычно требует инфраструктуру (БД), повышает сложность.</w:t>
      </w:r>
    </w:p>
    <w:bookmarkEnd w:id="11"/>
    <w:bookmarkStart w:id="12" w:name="Xd4a5d461a7f5fbdb5b84c1c02cd52c570dde4b2"/>
    <w:p>
      <w:pPr>
        <w:pStyle w:val="Heading3"/>
      </w:pPr>
      <w:r>
        <w:t xml:space="preserve">2) Langtrace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решение для трассировки/наблюдаемости LLM pipeline’ов, часто ориентировано на простую интеграцию.</w:t>
      </w:r>
      <w:r>
        <w:t xml:space="preserve"> </w:t>
      </w:r>
      <w:r>
        <w:rPr>
          <w:b/>
          <w:bCs/>
        </w:rPr>
        <w:t xml:space="preserve">Сильные стороны:</w:t>
      </w:r>
    </w:p>
    <w:p>
      <w:pPr>
        <w:pStyle w:val="Compact"/>
        <w:numPr>
          <w:ilvl w:val="0"/>
          <w:numId w:val="1004"/>
        </w:numPr>
      </w:pPr>
      <w:r>
        <w:t xml:space="preserve">Упор на трассировку и анализ цепочек.</w:t>
      </w:r>
    </w:p>
    <w:p>
      <w:pPr>
        <w:pStyle w:val="Compact"/>
        <w:numPr>
          <w:ilvl w:val="0"/>
          <w:numId w:val="1004"/>
        </w:numPr>
      </w:pPr>
      <w:r>
        <w:t xml:space="preserve">Может быть проще как «thin layer» поверх приложений.</w:t>
      </w:r>
    </w:p>
    <w:p>
      <w:pPr>
        <w:pStyle w:val="FirstParagraph"/>
      </w:pP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05"/>
        </w:numPr>
      </w:pPr>
      <w:r>
        <w:t xml:space="preserve">В сравнении с Langfuse обычно менее развит prompt/versioning и продуктовая аналитика.</w:t>
      </w:r>
    </w:p>
    <w:bookmarkEnd w:id="12"/>
    <w:bookmarkStart w:id="13" w:name="X3a0681a027cde79f42d673c0466a269520f5e10"/>
    <w:p>
      <w:pPr>
        <w:pStyle w:val="Heading3"/>
      </w:pPr>
      <w:r>
        <w:t xml:space="preserve">3) OpenLLMetry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подход/набор инструментов, интегрирующий LLM события в OpenTelemetry.</w:t>
      </w:r>
      <w:r>
        <w:t xml:space="preserve"> </w:t>
      </w:r>
      <w:r>
        <w:rPr>
          <w:b/>
          <w:bCs/>
        </w:rPr>
        <w:t xml:space="preserve">Сильные стороны:</w:t>
      </w:r>
    </w:p>
    <w:p>
      <w:pPr>
        <w:pStyle w:val="Compact"/>
        <w:numPr>
          <w:ilvl w:val="0"/>
          <w:numId w:val="1006"/>
        </w:numPr>
      </w:pPr>
      <w:r>
        <w:t xml:space="preserve">Vendor-neutral наблюдаемость через OpenTelemetry.</w:t>
      </w:r>
    </w:p>
    <w:p>
      <w:pPr>
        <w:pStyle w:val="Compact"/>
        <w:numPr>
          <w:ilvl w:val="0"/>
          <w:numId w:val="1006"/>
        </w:numPr>
      </w:pPr>
      <w:r>
        <w:t xml:space="preserve">Хорошо сочетается с существующим стеком SRE (Prometheus/Grafana/Tempo/Jaeger).</w:t>
      </w:r>
    </w:p>
    <w:p>
      <w:pPr>
        <w:pStyle w:val="FirstParagraph"/>
      </w:pP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07"/>
        </w:numPr>
      </w:pPr>
      <w:r>
        <w:t xml:space="preserve">Требует большего «инженерного» усилия: нужно собирать дашборды и хранение трейсинга.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cb29b25a4157dd4ce1d0f1eafaea5359c5c473d"/>
    <w:p>
      <w:pPr>
        <w:pStyle w:val="Heading2"/>
      </w:pPr>
      <w:r>
        <w:t xml:space="preserve">1.2 Сравнение (feature-matrix)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Langfuse</w:t>
            </w:r>
          </w:p>
        </w:tc>
        <w:tc>
          <w:tcPr/>
          <w:p>
            <w:pPr>
              <w:pStyle w:val="Compact"/>
            </w:pPr>
            <w:r>
              <w:t xml:space="preserve">Langtrace</w:t>
            </w:r>
          </w:p>
        </w:tc>
        <w:tc>
          <w:tcPr/>
          <w:p>
            <w:pPr>
              <w:pStyle w:val="Compact"/>
            </w:pPr>
            <w:r>
              <w:t xml:space="preserve">OpenLLMetry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Простота интеграции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LangChain</w:t>
            </w:r>
          </w:p>
        </w:tc>
        <w:tc>
          <w:tcPr/>
          <w:p>
            <w:pPr>
              <w:pStyle w:val="Compact"/>
            </w:pPr>
            <w:r>
              <w:t xml:space="preserve">хорошая</w:t>
            </w:r>
          </w:p>
        </w:tc>
        <w:tc>
          <w:tcPr/>
          <w:p>
            <w:pPr>
              <w:pStyle w:val="Compact"/>
            </w:pPr>
            <w:r>
              <w:t xml:space="preserve">хорошая</w:t>
            </w:r>
          </w:p>
        </w:tc>
        <w:tc>
          <w:tcPr/>
          <w:p>
            <w:pPr>
              <w:pStyle w:val="Compact"/>
            </w:pPr>
            <w:r>
              <w:t xml:space="preserve">зависит от instrumentation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LLM-метрики (tokens/cost)</w:t>
            </w:r>
          </w:p>
        </w:tc>
        <w:tc>
          <w:tcPr/>
          <w:p>
            <w:pPr>
              <w:pStyle w:val="Compact"/>
            </w:pPr>
            <w:r>
              <w:t xml:space="preserve">сильная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зависит</w:t>
            </w:r>
          </w:p>
        </w:tc>
        <w:tc>
          <w:tcPr/>
          <w:p>
            <w:pPr>
              <w:pStyle w:val="Compact"/>
            </w:pPr>
            <w:r>
              <w:t xml:space="preserve">да (через OTel стек)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versioning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</w:pPr>
            <w:r>
              <w:t xml:space="preserve">через теги/атрибуты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  <w:tc>
          <w:tcPr/>
          <w:p>
            <w:pPr>
              <w:pStyle w:val="Compact"/>
            </w:pPr>
            <w:r>
              <w:t xml:space="preserve">зависит</w:t>
            </w:r>
          </w:p>
        </w:tc>
        <w:tc>
          <w:tcPr/>
          <w:p>
            <w:pPr>
              <w:pStyle w:val="Compact"/>
            </w:pPr>
            <w:r>
              <w:t xml:space="preserve">open-source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fbafe4e60841f40087b984027036ba7f032f117"/>
    <w:p>
      <w:pPr>
        <w:pStyle w:val="Heading2"/>
      </w:pPr>
      <w:r>
        <w:t xml:space="preserve">1.3 Выбор стека и аргументация</w:t>
      </w:r>
    </w:p>
    <w:p>
      <w:pPr>
        <w:pStyle w:val="FirstParagraph"/>
      </w:pPr>
      <w:r>
        <w:t xml:space="preserve">Выбран гибридный стек: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OpenTelemetry</w:t>
      </w:r>
      <w:r>
        <w:t xml:space="preserve"> </w:t>
      </w:r>
      <w:r>
        <w:t xml:space="preserve">как нейтральный слой для traces/metrics/logs;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Prometheus + Grafana</w:t>
      </w:r>
      <w:r>
        <w:t xml:space="preserve"> </w:t>
      </w:r>
      <w:r>
        <w:t xml:space="preserve">как стандарт SRE метрик и визуализации;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Langfuse</w:t>
      </w:r>
      <w:r>
        <w:t xml:space="preserve"> </w:t>
      </w:r>
      <w:r>
        <w:t xml:space="preserve">как LLM-специфичная аналитика (prompts, версии, токены).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09"/>
        </w:numPr>
      </w:pPr>
      <w:r>
        <w:t xml:space="preserve">OTel даёт совместимость и масштабирование (в перспективе можно менять бэкенд трейсинга).</w:t>
      </w:r>
    </w:p>
    <w:p>
      <w:pPr>
        <w:pStyle w:val="Compact"/>
        <w:numPr>
          <w:ilvl w:val="0"/>
          <w:numId w:val="1009"/>
        </w:numPr>
      </w:pPr>
      <w:r>
        <w:t xml:space="preserve">Prometheus/Grafana — индустриальный стандарт мониторинга.</w:t>
      </w:r>
    </w:p>
    <w:p>
      <w:pPr>
        <w:pStyle w:val="Compact"/>
        <w:numPr>
          <w:ilvl w:val="0"/>
          <w:numId w:val="1009"/>
        </w:numPr>
      </w:pPr>
      <w:r>
        <w:t xml:space="preserve">Langfuse закрывает продуктовые потребности LLM-приложений.</w:t>
      </w:r>
    </w:p>
    <w:p>
      <w:r>
        <w:pict>
          <v:rect style="width:0;height:1.5pt" o:hralign="center" o:hrstd="t" o:hr="t"/>
        </w:pict>
      </w:r>
    </w:p>
    <w:bookmarkEnd w:id="16"/>
    <w:bookmarkStart w:id="18" w:name="X6147c67099138ca20ec97afce6fc2371051001d"/>
    <w:p>
      <w:pPr>
        <w:pStyle w:val="Heading2"/>
      </w:pPr>
      <w:r>
        <w:t xml:space="preserve">1.4 Реализация observability</w:t>
      </w:r>
    </w:p>
    <w:p>
      <w:pPr>
        <w:pStyle w:val="FirstParagraph"/>
      </w:pPr>
      <w:r>
        <w:t xml:space="preserve">Реализация находится в</w:t>
      </w:r>
      <w:r>
        <w:t xml:space="preserve"> </w:t>
      </w:r>
      <w:r>
        <w:rPr>
          <w:rStyle w:val="VerbatimChar"/>
        </w:rPr>
        <w:t xml:space="preserve">se_series3/llmops/observability/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logging_config.py</w:t>
      </w:r>
      <w:r>
        <w:t xml:space="preserve"> </w:t>
      </w:r>
      <w:r>
        <w:t xml:space="preserve">— структурные логи, JSON-поля (user_id, trace_id, latency, prompt_version).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metrics.py</w:t>
      </w:r>
      <w:r>
        <w:t xml:space="preserve"> </w:t>
      </w:r>
      <w:r>
        <w:t xml:space="preserve">— Prometheus метрики (request count, latency, tokens).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tracing.py</w:t>
      </w:r>
      <w:r>
        <w:t xml:space="preserve"> </w:t>
      </w:r>
      <w:r>
        <w:t xml:space="preserve">— настройка OpenTelemetry tracer + span атрибуты.</w:t>
      </w:r>
    </w:p>
    <w:p>
      <w:pPr>
        <w:pStyle w:val="FirstParagraph"/>
      </w:pPr>
      <w:r>
        <w:t xml:space="preserve">Добавлена демонстрация middleware (FastAPI-совместимая) и вызовы из агента.</w:t>
      </w:r>
    </w:p>
    <w:bookmarkStart w:id="17" w:name="снимаемые-сигналы"/>
    <w:p>
      <w:pPr>
        <w:pStyle w:val="Heading3"/>
      </w:pPr>
      <w:r>
        <w:t xml:space="preserve">Снимаемые сигналы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user_id, trace_id, prompt_id/version, response preview.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Metrics: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agent_requests_total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agent_request_latency_seconds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llm_tokens_in_total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llm_tokens_out_total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корневой span на запрос + дочерние span’ы для LLM и RecSys.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1" w:name="часть-2--recsys"/>
    <w:p>
      <w:pPr>
        <w:pStyle w:val="Heading1"/>
      </w:pPr>
      <w:r>
        <w:t xml:space="preserve">ЧАСТЬ 2 — RecSys</w:t>
      </w:r>
    </w:p>
    <w:bookmarkStart w:id="20" w:name="X05e8724add9aabfbde3ffb1abc3432412946cb8"/>
    <w:p>
      <w:pPr>
        <w:pStyle w:val="Heading2"/>
      </w:pPr>
      <w:r>
        <w:t xml:space="preserve">2.1 Датасет</w:t>
      </w:r>
    </w:p>
    <w:p>
      <w:pPr>
        <w:pStyle w:val="FirstParagraph"/>
      </w:pPr>
      <w:r>
        <w:t xml:space="preserve">Использован</w:t>
      </w:r>
      <w:r>
        <w:t xml:space="preserve"> </w:t>
      </w:r>
      <w:r>
        <w:rPr>
          <w:b/>
          <w:bCs/>
        </w:rPr>
        <w:t xml:space="preserve">MovieLens 100k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~100k рейтингов</w:t>
      </w:r>
    </w:p>
    <w:p>
      <w:pPr>
        <w:pStyle w:val="Compact"/>
        <w:numPr>
          <w:ilvl w:val="0"/>
          <w:numId w:val="1013"/>
        </w:numPr>
      </w:pPr>
      <w:r>
        <w:t xml:space="preserve">943 пользователя</w:t>
      </w:r>
    </w:p>
    <w:p>
      <w:pPr>
        <w:pStyle w:val="Compact"/>
        <w:numPr>
          <w:ilvl w:val="0"/>
          <w:numId w:val="1013"/>
        </w:numPr>
      </w:pPr>
      <w:r>
        <w:t xml:space="preserve">1682 фильма</w:t>
      </w:r>
    </w:p>
    <w:p>
      <w:pPr>
        <w:pStyle w:val="FirstParagraph"/>
      </w:pPr>
      <w:r>
        <w:t xml:space="preserve">Релевантность для top-K оценивалась как</w:t>
      </w:r>
      <w:r>
        <w:t xml:space="preserve"> </w:t>
      </w:r>
      <w:r>
        <w:rPr>
          <w:rStyle w:val="VerbatimChar"/>
        </w:rPr>
        <w:t xml:space="preserve">rating &gt;= 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6" w:name="X69bb93bf93c46962cf4c4acccfaa8edd803225c"/>
    <w:p>
      <w:pPr>
        <w:pStyle w:val="Heading2"/>
      </w:pPr>
      <w:r>
        <w:t xml:space="preserve">2.2 Реализованные подходы</w:t>
      </w:r>
    </w:p>
    <w:bookmarkStart w:id="21" w:name="a-content-based"/>
    <w:p>
      <w:pPr>
        <w:pStyle w:val="Heading3"/>
      </w:pPr>
      <w:r>
        <w:t xml:space="preserve">(A) Content-Based</w:t>
      </w:r>
    </w:p>
    <w:p>
      <w:pPr>
        <w:pStyle w:val="Compact"/>
        <w:numPr>
          <w:ilvl w:val="0"/>
          <w:numId w:val="1014"/>
        </w:numPr>
      </w:pPr>
      <w:r>
        <w:t xml:space="preserve">TF-IDF по тексту (title + genres)</w:t>
      </w:r>
    </w:p>
    <w:p>
      <w:pPr>
        <w:pStyle w:val="Compact"/>
        <w:numPr>
          <w:ilvl w:val="0"/>
          <w:numId w:val="1014"/>
        </w:numPr>
      </w:pPr>
      <w:r>
        <w:t xml:space="preserve">cosine similarity</w:t>
      </w:r>
    </w:p>
    <w:bookmarkEnd w:id="21"/>
    <w:bookmarkStart w:id="22" w:name="b-collaborative-filtering"/>
    <w:p>
      <w:pPr>
        <w:pStyle w:val="Heading3"/>
      </w:pPr>
      <w:r>
        <w:t xml:space="preserve">(B) Collaborative Filtering</w:t>
      </w:r>
    </w:p>
    <w:p>
      <w:pPr>
        <w:pStyle w:val="Compact"/>
        <w:numPr>
          <w:ilvl w:val="0"/>
          <w:numId w:val="1015"/>
        </w:numPr>
      </w:pPr>
      <w:r>
        <w:t xml:space="preserve">user-based cosine</w:t>
      </w:r>
    </w:p>
    <w:p>
      <w:pPr>
        <w:pStyle w:val="Compact"/>
        <w:numPr>
          <w:ilvl w:val="0"/>
          <w:numId w:val="1015"/>
        </w:numPr>
      </w:pPr>
      <w:r>
        <w:t xml:space="preserve">item-based cosine</w:t>
      </w:r>
    </w:p>
    <w:bookmarkEnd w:id="22"/>
    <w:bookmarkStart w:id="23" w:name="c-hybrid"/>
    <w:p>
      <w:pPr>
        <w:pStyle w:val="Heading3"/>
      </w:pPr>
      <w:r>
        <w:t xml:space="preserve">(C) Hybrid</w:t>
      </w:r>
    </w:p>
    <w:p>
      <w:pPr>
        <w:pStyle w:val="Compact"/>
        <w:numPr>
          <w:ilvl w:val="0"/>
          <w:numId w:val="1016"/>
        </w:numPr>
      </w:pPr>
      <w:r>
        <w:t xml:space="preserve">линейная комбинация скоров content + CF</w:t>
      </w:r>
    </w:p>
    <w:bookmarkEnd w:id="23"/>
    <w:bookmarkStart w:id="24" w:name="d-эвристики"/>
    <w:p>
      <w:pPr>
        <w:pStyle w:val="Heading3"/>
      </w:pPr>
      <w:r>
        <w:t xml:space="preserve">(D) Эвристики</w:t>
      </w:r>
    </w:p>
    <w:p>
      <w:pPr>
        <w:pStyle w:val="Compact"/>
        <w:numPr>
          <w:ilvl w:val="0"/>
          <w:numId w:val="1017"/>
        </w:numPr>
      </w:pPr>
      <w:r>
        <w:t xml:space="preserve">popular items</w:t>
      </w:r>
    </w:p>
    <w:p>
      <w:pPr>
        <w:pStyle w:val="Compact"/>
        <w:numPr>
          <w:ilvl w:val="0"/>
          <w:numId w:val="1017"/>
        </w:numPr>
      </w:pPr>
      <w:r>
        <w:t xml:space="preserve">same genre</w:t>
      </w:r>
    </w:p>
    <w:bookmarkEnd w:id="24"/>
    <w:bookmarkStart w:id="25" w:name="e-two-tower-pytorch"/>
    <w:p>
      <w:pPr>
        <w:pStyle w:val="Heading3"/>
      </w:pPr>
      <w:r>
        <w:t xml:space="preserve">(E) Two-Tower (PyTorch)</w:t>
      </w:r>
    </w:p>
    <w:p>
      <w:pPr>
        <w:pStyle w:val="FirstParagraph"/>
      </w:pPr>
      <w:r>
        <w:t xml:space="preserve">Двухбашенная архитектура:</w:t>
      </w:r>
    </w:p>
    <w:p>
      <w:pPr>
        <w:pStyle w:val="Compact"/>
        <w:numPr>
          <w:ilvl w:val="0"/>
          <w:numId w:val="1018"/>
        </w:numPr>
      </w:pPr>
      <w:r>
        <w:t xml:space="preserve">embedding пользователя</w:t>
      </w:r>
    </w:p>
    <w:p>
      <w:pPr>
        <w:pStyle w:val="Compact"/>
        <w:numPr>
          <w:ilvl w:val="0"/>
          <w:numId w:val="1018"/>
        </w:numPr>
      </w:pPr>
      <w:r>
        <w:t xml:space="preserve">embedding айтема</w:t>
      </w:r>
    </w:p>
    <w:p>
      <w:pPr>
        <w:pStyle w:val="Compact"/>
        <w:numPr>
          <w:ilvl w:val="0"/>
          <w:numId w:val="1018"/>
        </w:numPr>
      </w:pPr>
      <w:r>
        <w:t xml:space="preserve">dot product</w:t>
      </w:r>
    </w:p>
    <w:p>
      <w:pPr>
        <w:pStyle w:val="Compact"/>
        <w:numPr>
          <w:ilvl w:val="0"/>
          <w:numId w:val="1018"/>
        </w:numPr>
      </w:pPr>
      <w:r>
        <w:t xml:space="preserve">обучение на implicit feedback (BPR-like)</w:t>
      </w:r>
    </w:p>
    <w:p>
      <w:pPr>
        <w:pStyle w:val="FirstParagraph"/>
      </w:pPr>
      <w:r>
        <w:t xml:space="preserve">Масштабирование:</w:t>
      </w:r>
    </w:p>
    <w:p>
      <w:pPr>
        <w:pStyle w:val="Compact"/>
        <w:numPr>
          <w:ilvl w:val="0"/>
          <w:numId w:val="1019"/>
        </w:numPr>
      </w:pPr>
      <w:r>
        <w:t xml:space="preserve">разделение башен позволяет предвычислять item embeddings,</w:t>
      </w:r>
    </w:p>
    <w:p>
      <w:pPr>
        <w:pStyle w:val="Compact"/>
        <w:numPr>
          <w:ilvl w:val="0"/>
          <w:numId w:val="1019"/>
        </w:numPr>
      </w:pPr>
      <w:r>
        <w:t xml:space="preserve">для ANN поиска в проде применяют FAISS/ScaNN.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2fd86c5c7a7e15e15988f8bc89e64259a4e37c0"/>
    <w:p>
      <w:pPr>
        <w:pStyle w:val="Heading2"/>
      </w:pPr>
      <w:r>
        <w:t xml:space="preserve">2.3 Метрики</w:t>
      </w:r>
    </w:p>
    <w:bookmarkStart w:id="27" w:name="ml-метрики"/>
    <w:p>
      <w:pPr>
        <w:pStyle w:val="Heading3"/>
      </w:pPr>
      <w:r>
        <w:t xml:space="preserve">ML метрики</w:t>
      </w:r>
    </w:p>
    <w:p>
      <w:pPr>
        <w:pStyle w:val="Compact"/>
        <w:numPr>
          <w:ilvl w:val="0"/>
          <w:numId w:val="1020"/>
        </w:numPr>
      </w:pPr>
      <w:r>
        <w:t xml:space="preserve">Precision@K</w:t>
      </w:r>
    </w:p>
    <w:p>
      <w:pPr>
        <w:pStyle w:val="Compact"/>
        <w:numPr>
          <w:ilvl w:val="0"/>
          <w:numId w:val="1020"/>
        </w:numPr>
      </w:pPr>
      <w:r>
        <w:t xml:space="preserve">Recall@K</w:t>
      </w:r>
    </w:p>
    <w:p>
      <w:pPr>
        <w:pStyle w:val="Compact"/>
        <w:numPr>
          <w:ilvl w:val="0"/>
          <w:numId w:val="1020"/>
        </w:numPr>
      </w:pPr>
      <w:r>
        <w:t xml:space="preserve">MAP@K</w:t>
      </w:r>
    </w:p>
    <w:p>
      <w:pPr>
        <w:pStyle w:val="Compact"/>
        <w:numPr>
          <w:ilvl w:val="0"/>
          <w:numId w:val="1020"/>
        </w:numPr>
      </w:pPr>
      <w:r>
        <w:t xml:space="preserve">NDCG@K</w:t>
      </w:r>
    </w:p>
    <w:p>
      <w:pPr>
        <w:pStyle w:val="Compact"/>
        <w:numPr>
          <w:ilvl w:val="0"/>
          <w:numId w:val="1020"/>
        </w:numPr>
      </w:pPr>
      <w:r>
        <w:t xml:space="preserve">RMSE (для rating prediction — опционально)</w:t>
      </w:r>
    </w:p>
    <w:bookmarkEnd w:id="27"/>
    <w:bookmarkStart w:id="28" w:name="бизнес-метрики"/>
    <w:p>
      <w:pPr>
        <w:pStyle w:val="Heading3"/>
      </w:pPr>
      <w:r>
        <w:t xml:space="preserve">Бизнес метрики</w:t>
      </w:r>
    </w:p>
    <w:p>
      <w:pPr>
        <w:pStyle w:val="Compact"/>
        <w:numPr>
          <w:ilvl w:val="0"/>
          <w:numId w:val="1021"/>
        </w:numPr>
      </w:pPr>
      <w:r>
        <w:t xml:space="preserve">CTR</w:t>
      </w:r>
    </w:p>
    <w:p>
      <w:pPr>
        <w:pStyle w:val="Compact"/>
        <w:numPr>
          <w:ilvl w:val="0"/>
          <w:numId w:val="1021"/>
        </w:numPr>
      </w:pPr>
      <w:r>
        <w:t xml:space="preserve">Conversion rate</w:t>
      </w:r>
    </w:p>
    <w:p>
      <w:pPr>
        <w:pStyle w:val="Compact"/>
        <w:numPr>
          <w:ilvl w:val="0"/>
          <w:numId w:val="1021"/>
        </w:numPr>
      </w:pPr>
      <w:r>
        <w:t xml:space="preserve">Retention</w:t>
      </w:r>
    </w:p>
    <w:p>
      <w:pPr>
        <w:pStyle w:val="Compact"/>
        <w:numPr>
          <w:ilvl w:val="0"/>
          <w:numId w:val="1021"/>
        </w:numPr>
      </w:pPr>
      <w:r>
        <w:t xml:space="preserve">ARPU</w:t>
      </w:r>
    </w:p>
    <w:p>
      <w:pPr>
        <w:pStyle w:val="Compact"/>
        <w:numPr>
          <w:ilvl w:val="0"/>
          <w:numId w:val="1021"/>
        </w:numPr>
      </w:pPr>
      <w:r>
        <w:t xml:space="preserve">Session time</w:t>
      </w:r>
    </w:p>
    <w:bookmarkEnd w:id="28"/>
    <w:bookmarkStart w:id="29" w:name="инфраструктурные"/>
    <w:p>
      <w:pPr>
        <w:pStyle w:val="Heading3"/>
      </w:pPr>
      <w:r>
        <w:t xml:space="preserve">Инфраструктурные</w:t>
      </w:r>
    </w:p>
    <w:p>
      <w:pPr>
        <w:pStyle w:val="Compact"/>
        <w:numPr>
          <w:ilvl w:val="0"/>
          <w:numId w:val="1022"/>
        </w:numPr>
      </w:pPr>
      <w:r>
        <w:t xml:space="preserve">latency</w:t>
      </w:r>
    </w:p>
    <w:p>
      <w:pPr>
        <w:pStyle w:val="Compact"/>
        <w:numPr>
          <w:ilvl w:val="0"/>
          <w:numId w:val="1022"/>
        </w:numPr>
      </w:pPr>
      <w:r>
        <w:t xml:space="preserve">QPS</w:t>
      </w:r>
    </w:p>
    <w:p>
      <w:pPr>
        <w:pStyle w:val="Compact"/>
        <w:numPr>
          <w:ilvl w:val="0"/>
          <w:numId w:val="1022"/>
        </w:numPr>
      </w:pPr>
      <w:r>
        <w:t xml:space="preserve">memory usage</w:t>
      </w:r>
    </w:p>
    <w:p>
      <w:pPr>
        <w:pStyle w:val="Compact"/>
        <w:numPr>
          <w:ilvl w:val="0"/>
          <w:numId w:val="1022"/>
        </w:numPr>
      </w:pPr>
      <w:r>
        <w:t xml:space="preserve">GPU utilization (если применимо)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часть-3--проблемы-и-решения"/>
    <w:p>
      <w:pPr>
        <w:pStyle w:val="Heading1"/>
      </w:pPr>
      <w:r>
        <w:t xml:space="preserve">ЧАСТЬ 3 — Проблемы и решения</w:t>
      </w:r>
    </w:p>
    <w:bookmarkStart w:id="32" w:name="X2c3e84bed031896f150ba20b78b2df97e87e395"/>
    <w:p>
      <w:pPr>
        <w:pStyle w:val="Heading2"/>
      </w:pPr>
      <w:r>
        <w:t xml:space="preserve">3.1 RecSys: типовые проблемы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Cold Start</w:t>
      </w:r>
      <w:r>
        <w:t xml:space="preserve"> </w:t>
      </w:r>
      <w:r>
        <w:t xml:space="preserve">— нет истории для новых пользователей/товаров.</w:t>
      </w:r>
    </w:p>
    <w:p>
      <w:pPr>
        <w:pStyle w:val="Compact"/>
        <w:numPr>
          <w:ilvl w:val="1"/>
          <w:numId w:val="1024"/>
        </w:numPr>
      </w:pPr>
      <w:r>
        <w:t xml:space="preserve">Решение: content-based, onboarding, популярные товары.</w:t>
      </w:r>
    </w:p>
    <w:p>
      <w:pPr>
        <w:pStyle w:val="Compact"/>
        <w:numPr>
          <w:ilvl w:val="1"/>
          <w:numId w:val="1024"/>
        </w:numPr>
      </w:pPr>
      <w:r>
        <w:t xml:space="preserve">Минусы: ниже персонализация.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Sparsity</w:t>
      </w:r>
      <w:r>
        <w:t xml:space="preserve"> </w:t>
      </w:r>
      <w:r>
        <w:t xml:space="preserve">— разреженность матрицы взаимодействий.</w:t>
      </w:r>
    </w:p>
    <w:p>
      <w:pPr>
        <w:pStyle w:val="Compact"/>
        <w:numPr>
          <w:ilvl w:val="1"/>
          <w:numId w:val="1025"/>
        </w:numPr>
      </w:pPr>
      <w:r>
        <w:t xml:space="preserve">Решение: эмбеддинги, регуляризация, hybrid.</w:t>
      </w:r>
    </w:p>
    <w:p>
      <w:pPr>
        <w:pStyle w:val="Compact"/>
        <w:numPr>
          <w:ilvl w:val="1"/>
          <w:numId w:val="1025"/>
        </w:numPr>
      </w:pPr>
      <w:r>
        <w:t xml:space="preserve">Минусы: сложнее отладка.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Popularity bias</w:t>
      </w:r>
    </w:p>
    <w:p>
      <w:pPr>
        <w:pStyle w:val="Compact"/>
        <w:numPr>
          <w:ilvl w:val="1"/>
          <w:numId w:val="1026"/>
        </w:numPr>
      </w:pPr>
      <w:r>
        <w:t xml:space="preserve">Решение: диверсификация, re-ranking.</w:t>
      </w:r>
    </w:p>
    <w:p>
      <w:pPr>
        <w:pStyle w:val="Compact"/>
        <w:numPr>
          <w:ilvl w:val="1"/>
          <w:numId w:val="1026"/>
        </w:numPr>
      </w:pPr>
      <w:r>
        <w:t xml:space="preserve">Минусы: возможное падение CTR.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Echo chamber</w:t>
      </w:r>
    </w:p>
    <w:p>
      <w:pPr>
        <w:pStyle w:val="Compact"/>
        <w:numPr>
          <w:ilvl w:val="1"/>
          <w:numId w:val="1027"/>
        </w:numPr>
      </w:pPr>
      <w:r>
        <w:t xml:space="preserve">Решение: exploration, diversity constraints.</w:t>
      </w:r>
    </w:p>
    <w:p>
      <w:pPr>
        <w:pStyle w:val="Compact"/>
        <w:numPr>
          <w:ilvl w:val="1"/>
          <w:numId w:val="1027"/>
        </w:numPr>
      </w:pPr>
      <w:r>
        <w:t xml:space="preserve">Минусы: сложнее измерение.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Этика</w:t>
      </w:r>
    </w:p>
    <w:p>
      <w:pPr>
        <w:pStyle w:val="Compact"/>
        <w:numPr>
          <w:ilvl w:val="1"/>
          <w:numId w:val="1028"/>
        </w:numPr>
      </w:pPr>
      <w:r>
        <w:t xml:space="preserve">Решение: privacy-by-design, контроль fairness.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Feedback loop</w:t>
      </w:r>
    </w:p>
    <w:p>
      <w:pPr>
        <w:pStyle w:val="Compact"/>
        <w:numPr>
          <w:ilvl w:val="1"/>
          <w:numId w:val="1029"/>
        </w:numPr>
      </w:pPr>
      <w:r>
        <w:t xml:space="preserve">Решение: A/B тесты, causal методы, logging policy.</w:t>
      </w:r>
    </w:p>
    <w:p>
      <w:r>
        <w:pict>
          <v:rect style="width:0;height:1.5pt" o:hralign="center" o:hrstd="t" o:hr="t"/>
        </w:pict>
      </w:r>
    </w:p>
    <w:bookmarkEnd w:id="32"/>
    <w:bookmarkStart w:id="33" w:name="Xd77410a558768ca7c0d0d460e0ce426eb6c4bcc"/>
    <w:p>
      <w:pPr>
        <w:pStyle w:val="Heading2"/>
      </w:pPr>
      <w:r>
        <w:t xml:space="preserve">3.2 Продакшен риски</w:t>
      </w:r>
    </w:p>
    <w:p>
      <w:pPr>
        <w:pStyle w:val="Compact"/>
        <w:numPr>
          <w:ilvl w:val="0"/>
          <w:numId w:val="1030"/>
        </w:numPr>
      </w:pPr>
      <w:r>
        <w:t xml:space="preserve">Latency → кэширование, ANN, батчинг</w:t>
      </w:r>
    </w:p>
    <w:p>
      <w:pPr>
        <w:pStyle w:val="Compact"/>
        <w:numPr>
          <w:ilvl w:val="0"/>
          <w:numId w:val="1030"/>
        </w:numPr>
      </w:pPr>
      <w:r>
        <w:t xml:space="preserve">Scalability → горизонтальное масштабирование, precompute</w:t>
      </w:r>
    </w:p>
    <w:p>
      <w:pPr>
        <w:pStyle w:val="Compact"/>
        <w:numPr>
          <w:ilvl w:val="0"/>
          <w:numId w:val="1030"/>
        </w:numPr>
      </w:pPr>
      <w:r>
        <w:t xml:space="preserve">Memory usage → sparse матрицы, компрессия эмбеддингов</w:t>
      </w:r>
    </w:p>
    <w:p>
      <w:pPr>
        <w:pStyle w:val="Compact"/>
        <w:numPr>
          <w:ilvl w:val="0"/>
          <w:numId w:val="1030"/>
        </w:numPr>
      </w:pPr>
      <w:r>
        <w:t xml:space="preserve">Feature drift → мониторинг распределений</w:t>
      </w:r>
    </w:p>
    <w:p>
      <w:pPr>
        <w:pStyle w:val="Compact"/>
        <w:numPr>
          <w:ilvl w:val="0"/>
          <w:numId w:val="1030"/>
        </w:numPr>
      </w:pPr>
      <w:r>
        <w:t xml:space="preserve">Data leakage → строгие сплиты и time-aware evaluation</w:t>
      </w:r>
    </w:p>
    <w:p>
      <w:r>
        <w:pict>
          <v:rect style="width:0;height:1.5pt" o:hralign="center" o:hrstd="t" o:hr="t"/>
        </w:pict>
      </w:r>
    </w:p>
    <w:bookmarkEnd w:id="33"/>
    <w:bookmarkStart w:id="3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Построен учебный проект, демонстрирующий:</w:t>
      </w:r>
    </w:p>
    <w:p>
      <w:pPr>
        <w:pStyle w:val="Compact"/>
        <w:numPr>
          <w:ilvl w:val="0"/>
          <w:numId w:val="1031"/>
        </w:numPr>
      </w:pPr>
      <w:r>
        <w:t xml:space="preserve">Observability для LLM-агента (логи/метрики/трейсы + LLM-специфичные измерения),</w:t>
      </w:r>
    </w:p>
    <w:p>
      <w:pPr>
        <w:pStyle w:val="Compact"/>
        <w:numPr>
          <w:ilvl w:val="0"/>
          <w:numId w:val="1031"/>
        </w:numPr>
      </w:pPr>
      <w:r>
        <w:t xml:space="preserve">несколько подходов RecSys и единый протокол оценки,</w:t>
      </w:r>
    </w:p>
    <w:p>
      <w:pPr>
        <w:pStyle w:val="Compact"/>
        <w:numPr>
          <w:ilvl w:val="0"/>
          <w:numId w:val="1031"/>
        </w:numPr>
      </w:pPr>
      <w:r>
        <w:t xml:space="preserve">анализ рисков и метрик, приближенный к production мышлению.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2026-02-20T15:20:16Z</dcterms:created>
  <dcterms:modified xsi:type="dcterms:W3CDTF">2026-02-20T15:20:16Z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