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i-session-handoff-summary"/>
    <w:p>
      <w:pPr>
        <w:pStyle w:val="Heading1"/>
      </w:pPr>
      <w:r>
        <w:t xml:space="preserve">AI Session Handoff Summary</w:t>
      </w:r>
    </w:p>
    <w:p>
      <w:pPr>
        <w:pStyle w:val="FirstParagraph"/>
      </w:pPr>
      <w:r>
        <w:rPr>
          <w:b/>
          <w:bCs/>
        </w:rPr>
        <w:t xml:space="preserve">Created:</w:t>
      </w:r>
      <w:r>
        <w:t xml:space="preserve"> </w:t>
      </w:r>
      <w:r>
        <w:t xml:space="preserve">May 4,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Pick up exactly here tomorrow — no re-orientation needed</w:t>
      </w:r>
      <w:r>
        <w:br/>
      </w:r>
      <w:r>
        <w:rPr>
          <w:b/>
          <w:bCs/>
        </w:rPr>
        <w:t xml:space="preserve">Due:</w:t>
      </w:r>
      <w:r>
        <w:t xml:space="preserve"> </w:t>
      </w:r>
      <w:r>
        <w:t xml:space="preserve">May 5, 2026 at 9:59 PM PDT (TOMORROW)</w:t>
      </w:r>
    </w:p>
    <w:p>
      <w:r>
        <w:pict>
          <v:rect style="width:0;height:1.5pt" o:hralign="center" o:hrstd="t" o:hr="t"/>
        </w:pict>
      </w:r>
    </w:p>
    <w:bookmarkStart w:id="9" w:name="paper-identity"/>
    <w:p>
      <w:pPr>
        <w:pStyle w:val="Heading2"/>
      </w:pPr>
      <w:r>
        <w:t xml:space="preserve">1. Paper Identity</w:t>
      </w:r>
    </w:p>
    <w:p>
      <w:pPr>
        <w:pStyle w:val="FirstParagraph"/>
      </w:pPr>
      <w:r>
        <w:rPr>
          <w:b/>
          <w:bCs/>
        </w:rPr>
        <w:t xml:space="preserve">Title (working):</w:t>
      </w:r>
      <w:r>
        <w:t xml:space="preserve"> </w:t>
      </w:r>
      <w:r>
        <w:t xml:space="preserve">Data-Driven Migration of Enterprise Analytical Assets: A Case Study in Tableau™-to-Spotfire™ Conversion at a Major Oil and Gas Producer</w:t>
      </w:r>
    </w:p>
    <w:p>
      <w:pPr>
        <w:pStyle w:val="BodyText"/>
      </w:pPr>
      <w:r>
        <w:rPr>
          <w:b/>
          <w:bCs/>
        </w:rPr>
        <w:t xml:space="preserve">Course:</w:t>
      </w:r>
      <w:r>
        <w:t xml:space="preserve"> </w:t>
      </w:r>
      <w:r>
        <w:t xml:space="preserve">IFSC 77003 — Data Science and Technologies</w:t>
      </w:r>
      <w:r>
        <w:br/>
      </w:r>
      <w:r>
        <w:rPr>
          <w:b/>
          <w:bCs/>
        </w:rPr>
        <w:t xml:space="preserve">Program:</w:t>
      </w:r>
      <w:r>
        <w:t xml:space="preserve"> </w:t>
      </w:r>
      <w:r>
        <w:t xml:space="preserve">Graduate (MS)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Real-world project at Aera Energy / CRC (California Resources Corporation). Author is the team lead of the Tableau-to-Spotfire migration program in the Asset Development department. Aera was acquired by CRC; Tableau license expires December 2026. The project builds a data-driven pipeline to select, score, and convert Tableau workbooks into Spotfire.</w:t>
      </w:r>
    </w:p>
    <w:p>
      <w:pPr>
        <w:pStyle w:val="BodyText"/>
      </w:pPr>
      <w:r>
        <w:rPr>
          <w:b/>
          <w:bCs/>
        </w:rPr>
        <w:t xml:space="preserve">Key constraint:</w:t>
      </w:r>
      <w:r>
        <w:t xml:space="preserve"> </w:t>
      </w:r>
      <w:r>
        <w:t xml:space="preserve">No personal names anywhere in the paper — role-based descriptions only (team lead, Spotfire expert, junior developer, domain expert, etc.).</w:t>
      </w:r>
    </w:p>
    <w:p>
      <w:r>
        <w:pict>
          <v:rect style="width:0;height:1.5pt" o:hralign="center" o:hrstd="t" o:hr="t"/>
        </w:pict>
      </w:r>
    </w:p>
    <w:bookmarkEnd w:id="9"/>
    <w:bookmarkStart w:id="10" w:name="file-map"/>
    <w:p>
      <w:pPr>
        <w:pStyle w:val="Heading2"/>
      </w:pPr>
      <w:r>
        <w:t xml:space="preserve">2. File Map</w:t>
      </w:r>
    </w:p>
    <w:p>
      <w:pPr>
        <w:pStyle w:val="FirstParagraph"/>
      </w:pPr>
      <w:r>
        <w:t xml:space="preserve">All files live in:</w:t>
      </w:r>
      <w:r>
        <w:br/>
      </w:r>
      <w:r>
        <w:rPr>
          <w:rStyle w:val="VerbatimChar"/>
        </w:rPr>
        <w:t xml:space="preserve">C:\Users\leste\OneDrive - UA Little Rock\2026\2026Spring\IFSC_77003_Data_Science\w14_final_project\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01_introduction.md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Part 1 — Introduction</w:t>
            </w:r>
          </w:p>
        </w:tc>
        <w:tc>
          <w:tcPr/>
          <w:p>
            <w:pPr>
              <w:pStyle w:val="Compact"/>
            </w:pPr>
            <w:r>
              <w:t xml:space="preserve">✅ Complete, committed to 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02_literatureReview.md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Part 2 — Literature Review</w:t>
            </w:r>
          </w:p>
        </w:tc>
        <w:tc>
          <w:tcPr/>
          <w:p>
            <w:pPr>
              <w:pStyle w:val="Compact"/>
            </w:pPr>
            <w:r>
              <w:t xml:space="preserve">✅ Complete, committed to 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03_dataSelectionResearchDesignAndMethods.md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Part 3 — Data Selection, Research Design &amp; Methods</w:t>
            </w:r>
          </w:p>
        </w:tc>
        <w:tc>
          <w:tcPr/>
          <w:p>
            <w:pPr>
              <w:pStyle w:val="Compact"/>
            </w:pPr>
            <w:r>
              <w:t xml:space="preserve">✅ Substantially complete —</w:t>
            </w:r>
            <w:r>
              <w:t xml:space="preserve"> </w:t>
            </w:r>
            <w:r>
              <w:rPr>
                <w:b/>
                <w:bCs/>
              </w:rPr>
              <w:t xml:space="preserve">NOT YET committed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04_analysisWork.md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Part 4 — Analysis Work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FULLY COMPLETE</w:t>
            </w:r>
            <w:r>
              <w:t xml:space="preserve"> </w:t>
            </w:r>
            <w:r>
              <w:t xml:space="preserve">— all 10 sections, docx generated —</w:t>
            </w:r>
            <w:r>
              <w:t xml:space="preserve"> </w:t>
            </w:r>
            <w:r>
              <w:rPr>
                <w:b/>
                <w:bCs/>
              </w:rPr>
              <w:t xml:space="preserve">NOT YET committed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05_discussionEthicsPrivacyAIDisclosure.md</w:t>
            </w:r>
          </w:p>
        </w:tc>
        <w:tc>
          <w:tcPr/>
          <w:p>
            <w:pPr>
              <w:pStyle w:val="Compact"/>
            </w:pPr>
            <w:r>
              <w:t xml:space="preserve">Part 5 — Discussion / Ethics / AI Disclosure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PLACEHOLDER ONLY — must be drafted tomorrow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06_conclusionsAndClosingThoughts.md</w:t>
            </w:r>
          </w:p>
        </w:tc>
        <w:tc>
          <w:tcPr/>
          <w:p>
            <w:pPr>
              <w:pStyle w:val="Compact"/>
            </w:pPr>
            <w:r>
              <w:t xml:space="preserve">Part 6 — Conclusions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PLACEHOLDER ONLY — must be drafted tomorrow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07_appendix.md</w:t>
            </w:r>
          </w:p>
        </w:tc>
        <w:tc>
          <w:tcPr/>
          <w:p>
            <w:pPr>
              <w:pStyle w:val="Compact"/>
            </w:pPr>
            <w:r>
              <w:t xml:space="preserve">Part 7 — Appendix</w:t>
            </w:r>
          </w:p>
        </w:tc>
        <w:tc>
          <w:tcPr/>
          <w:p>
            <w:pPr>
              <w:pStyle w:val="Compact"/>
            </w:pPr>
            <w:r>
              <w:t xml:space="preserve">❌ Placeholder — lower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08_threeMinuteThesis.md</w:t>
            </w:r>
          </w:p>
        </w:tc>
        <w:tc>
          <w:tcPr/>
          <w:p>
            <w:pPr>
              <w:pStyle w:val="Compact"/>
            </w:pPr>
            <w:r>
              <w:t xml:space="preserve">Part 8 — Three-Minute Thesis</w:t>
            </w:r>
          </w:p>
        </w:tc>
        <w:tc>
          <w:tcPr/>
          <w:p>
            <w:pPr>
              <w:pStyle w:val="Compact"/>
            </w:pPr>
            <w:r>
              <w:t xml:space="preserve">❌ Placeholder — separate deliverable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_H_probability_model_sql.sql</w:t>
            </w:r>
          </w:p>
        </w:tc>
        <w:tc>
          <w:tcPr/>
          <w:p>
            <w:pPr>
              <w:pStyle w:val="Compact"/>
            </w:pPr>
            <w:r>
              <w:t xml:space="preserve">Reference SQL: Probability model</w:t>
            </w:r>
          </w:p>
        </w:tc>
        <w:tc>
          <w:tcPr/>
          <w:p>
            <w:pPr>
              <w:pStyle w:val="Compact"/>
            </w:pPr>
            <w:r>
              <w:t xml:space="preserve">✅ Saved with inline comments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_I_roi_priority_scoring_sql.sql</w:t>
            </w:r>
          </w:p>
        </w:tc>
        <w:tc>
          <w:tcPr/>
          <w:p>
            <w:pPr>
              <w:pStyle w:val="Compact"/>
            </w:pPr>
            <w:r>
              <w:t xml:space="preserve">Reference SQL: ROI priority model</w:t>
            </w:r>
          </w:p>
        </w:tc>
        <w:tc>
          <w:tcPr/>
          <w:p>
            <w:pPr>
              <w:pStyle w:val="Compact"/>
            </w:pPr>
            <w:r>
              <w:t xml:space="preserve">✅ Saved with inline comments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04_analysisWork_Image_1.png</w:t>
            </w:r>
          </w:p>
        </w:tc>
        <w:tc>
          <w:tcPr/>
          <w:p>
            <w:pPr>
              <w:pStyle w:val="Compact"/>
            </w:pPr>
            <w:r>
              <w:t xml:space="preserve">Figure 4.2 — Spotfire dashboard screenshot</w:t>
            </w:r>
          </w:p>
        </w:tc>
        <w:tc>
          <w:tcPr/>
          <w:p>
            <w:pPr>
              <w:pStyle w:val="Compact"/>
            </w:pPr>
            <w:r>
              <w:t xml:space="preserve">✅ Embedded in 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04_analysisWork_Image_2.png</w:t>
            </w:r>
          </w:p>
        </w:tc>
        <w:tc>
          <w:tcPr/>
          <w:p>
            <w:pPr>
              <w:pStyle w:val="Compact"/>
            </w:pPr>
            <w:r>
              <w:t xml:space="preserve">Figure 4.1 — ENGSB ER diagram (exported from Relational_1.svg)</w:t>
            </w:r>
          </w:p>
        </w:tc>
        <w:tc>
          <w:tcPr/>
          <w:p>
            <w:pPr>
              <w:pStyle w:val="Compact"/>
            </w:pPr>
            <w:r>
              <w:t xml:space="preserve">✅ Embedded in 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975c0c17a0bcabd45365036d1710df1634ff14a"/>
    <w:p>
      <w:pPr>
        <w:pStyle w:val="Heading2"/>
      </w:pPr>
      <w:r>
        <w:t xml:space="preserve">3. Part 4 Section Map (complete — for reference 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Analysis Scope and Approach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Data Preparation and Schema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Predictive Usage Sustainability Model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ROI Priority Scoring Implementation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Selection Results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Conversion Fidelity Findings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Labor and Feasibility Analysis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Integrated Findings Across Selection, Conversion, and Labor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Limitations of the Analysis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4.10</w:t>
            </w:r>
          </w:p>
        </w:tc>
        <w:tc>
          <w:tcPr/>
          <w:p>
            <w:pPr>
              <w:pStyle w:val="Compact"/>
            </w:pPr>
            <w:r>
              <w:t xml:space="preserve">From Analysis to Governance</w:t>
            </w:r>
            <w:r>
              <w:t xml:space="preserve"> </w:t>
            </w:r>
            <w:r>
              <w:rPr>
                <w:i/>
                <w:iCs/>
              </w:rPr>
              <w:t xml:space="preserve">(renamed from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“Transition to Part 5”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what-must-be-done-tomorrow"/>
    <w:p>
      <w:pPr>
        <w:pStyle w:val="Heading2"/>
      </w:pPr>
      <w:r>
        <w:t xml:space="preserve">4. What Must Be Done Tomorrow</w:t>
      </w:r>
    </w:p>
    <w:bookmarkStart w:id="12" w:name="priority-order"/>
    <w:p>
      <w:pPr>
        <w:pStyle w:val="Heading3"/>
      </w:pPr>
      <w:r>
        <w:t xml:space="preserve">Priority Order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 Part 5</w:t>
      </w:r>
      <w:r>
        <w:t xml:space="preserve"> </w:t>
      </w:r>
      <w:r>
        <w:t xml:space="preserve">(Discussion / Ethics / Privacy / AI Disclosure) — 2 to 3 pages —</w:t>
      </w:r>
      <w:r>
        <w:t xml:space="preserve"> </w:t>
      </w:r>
      <w:r>
        <w:rPr>
          <w:b/>
          <w:bCs/>
        </w:rPr>
        <w:t xml:space="preserve">this is a major grading area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 Part 6</w:t>
      </w:r>
      <w:r>
        <w:t xml:space="preserve"> </w:t>
      </w:r>
      <w:r>
        <w:t xml:space="preserve">(Conclusions and Closing Thoughts) — ~1 page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 commit</w:t>
      </w:r>
      <w:r>
        <w:t xml:space="preserve"> </w:t>
      </w:r>
      <w:r>
        <w:t xml:space="preserve">Parts 3 and 4 (both complete but uncommitted)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7 Appendix</w:t>
      </w:r>
      <w:r>
        <w:t xml:space="preserve"> </w:t>
      </w:r>
      <w:r>
        <w:t xml:space="preserve">— assemble hours log, APA references, sanitized discovery example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8 Three-Minute Thesis</w:t>
      </w:r>
      <w:r>
        <w:t xml:space="preserve"> </w:t>
      </w:r>
      <w:r>
        <w:t xml:space="preserve">— script + one slide (separate deliverable, may be submitted after paper if needed)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part-5-what-to-draft-content-brief"/>
    <w:p>
      <w:pPr>
        <w:pStyle w:val="Heading2"/>
      </w:pPr>
      <w:r>
        <w:t xml:space="preserve">5. Part 5 — What to Draft (content brief)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05_discussionEthicsPrivacyAIDisclosure.md</w:t>
      </w:r>
      <w:r>
        <w:br/>
      </w:r>
      <w:r>
        <w:t xml:space="preserve">Target: 2–3 pages of academic prose</w:t>
      </w:r>
    </w:p>
    <w:bookmarkStart w:id="14" w:name="required-content-per-the-assignment"/>
    <w:p>
      <w:pPr>
        <w:pStyle w:val="Heading3"/>
      </w:pPr>
      <w:r>
        <w:t xml:space="preserve">Required content per the assignment:</w:t>
      </w:r>
    </w:p>
    <w:p>
      <w:pPr>
        <w:pStyle w:val="Compact"/>
        <w:numPr>
          <w:ilvl w:val="0"/>
          <w:numId w:val="1002"/>
        </w:numPr>
      </w:pPr>
      <w:r>
        <w:t xml:space="preserve">Interpretation of findings</w:t>
      </w:r>
    </w:p>
    <w:p>
      <w:pPr>
        <w:pStyle w:val="Compact"/>
        <w:numPr>
          <w:ilvl w:val="0"/>
          <w:numId w:val="1002"/>
        </w:numPr>
      </w:pPr>
      <w:r>
        <w:t xml:space="preserve">Limitations (some already in 4.9 — cross-reference or summarize)</w:t>
      </w:r>
    </w:p>
    <w:p>
      <w:pPr>
        <w:pStyle w:val="Compact"/>
        <w:numPr>
          <w:ilvl w:val="0"/>
          <w:numId w:val="1002"/>
        </w:numPr>
      </w:pPr>
      <w:r>
        <w:t xml:space="preserve">Business implications</w:t>
      </w:r>
    </w:p>
    <w:p>
      <w:pPr>
        <w:pStyle w:val="Compact"/>
        <w:numPr>
          <w:ilvl w:val="0"/>
          <w:numId w:val="1002"/>
        </w:numPr>
      </w:pPr>
      <w:r>
        <w:t xml:space="preserve">Security considerations</w:t>
      </w:r>
    </w:p>
    <w:p>
      <w:pPr>
        <w:pStyle w:val="Compact"/>
        <w:numPr>
          <w:ilvl w:val="0"/>
          <w:numId w:val="1002"/>
        </w:numPr>
      </w:pPr>
      <w:r>
        <w:t xml:space="preserve">Privacy considerations</w:t>
      </w:r>
    </w:p>
    <w:p>
      <w:pPr>
        <w:pStyle w:val="Compact"/>
        <w:numPr>
          <w:ilvl w:val="0"/>
          <w:numId w:val="1002"/>
        </w:numPr>
      </w:pPr>
      <w:r>
        <w:t xml:space="preserve">Ethics</w:t>
      </w:r>
    </w:p>
    <w:p>
      <w:pPr>
        <w:pStyle w:val="Compact"/>
        <w:numPr>
          <w:ilvl w:val="0"/>
          <w:numId w:val="1002"/>
        </w:numPr>
      </w:pPr>
      <w:r>
        <w:t xml:space="preserve">AI-use disclosure</w:t>
      </w:r>
    </w:p>
    <w:bookmarkEnd w:id="14"/>
    <w:bookmarkStart w:id="15" w:name="X1c5c2366c068458118abbadb9fdd5a8722393bd"/>
    <w:p>
      <w:pPr>
        <w:pStyle w:val="Heading3"/>
      </w:pPr>
      <w:r>
        <w:t xml:space="preserve">Themes ready to write from Part 4’s closing paragraph (4.10):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Institutional knowledge stewardship</w:t>
      </w:r>
      <w:r>
        <w:t xml:space="preserve"> </w:t>
      </w:r>
      <w:r>
        <w:t xml:space="preserve">— 660 workbooks collapsed to 20; the discarded 640 represent embedded knowledge not preserved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in consequential decisions</w:t>
      </w:r>
      <w:r>
        <w:t xml:space="preserve"> </w:t>
      </w:r>
      <w:r>
        <w:t xml:space="preserve">— AI-assisted discovery ranked workbooks; humans validated but AI shaped the shortlist; governance of this needs examination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Training access asymmetry</w:t>
      </w:r>
      <w:r>
        <w:t xml:space="preserve"> </w:t>
      </w:r>
      <w:r>
        <w:t xml:space="preserve">— Tableau’s open ecosystem vs. Spotfire’s enterprise-negotiated access; structural risk to sustainability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Platform dependency concentration</w:t>
      </w:r>
      <w:r>
        <w:t xml:space="preserve"> </w:t>
      </w:r>
      <w:r>
        <w:t xml:space="preserve">— single Spotfire expert is de facto training resource; single-point-of-failure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License expiration as governance lever</w:t>
      </w:r>
      <w:r>
        <w:t xml:space="preserve"> </w:t>
      </w:r>
      <w:r>
        <w:t xml:space="preserve">— forced organizational action by hard deadline; contrast with proactive governance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Tableau telemetry identifies individual user behavior by name/email; cohort construction used PII joins; data was stored in ENGSB (Engineering Sandbox), not production DW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ENGSB is Oracle staging, not production; SQL views contain no raw PII output but build from PII joins; contractor access to ENGSB scope was limited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AI-use disclosure:</w:t>
      </w:r>
      <w:r>
        <w:t xml:space="preserve"> </w:t>
      </w:r>
      <w:r>
        <w:t xml:space="preserve">GitHub Copilot (Claude Sonnet 4.6) was used throughout this paper for prose drafting, SQL commenting, and document structuring; all domain facts, SQL, project data, and analysis were provided by the author; AI did not have access to corporate systems</w:t>
      </w:r>
    </w:p>
    <w:bookmarkEnd w:id="15"/>
    <w:bookmarkStart w:id="16" w:name="suggested-section-outline-for-part-5"/>
    <w:p>
      <w:pPr>
        <w:pStyle w:val="Heading3"/>
      </w:pPr>
      <w:r>
        <w:t xml:space="preserve">Suggested section outline for Part 5:</w:t>
      </w:r>
    </w:p>
    <w:p>
      <w:pPr>
        <w:pStyle w:val="SourceCode"/>
      </w:pPr>
      <w:r>
        <w:rPr>
          <w:rStyle w:val="VerbatimChar"/>
        </w:rPr>
        <w:t xml:space="preserve">5.1 Interpretation of Principal Findings</w:t>
      </w:r>
      <w:r>
        <w:br/>
      </w:r>
      <w:r>
        <w:rPr>
          <w:rStyle w:val="VerbatimChar"/>
        </w:rPr>
        <w:t xml:space="preserve">5.2 Business Implications for Enterprise Analytics Migration</w:t>
      </w:r>
      <w:r>
        <w:br/>
      </w:r>
      <w:r>
        <w:rPr>
          <w:rStyle w:val="VerbatimChar"/>
        </w:rPr>
        <w:t xml:space="preserve">5.3 Data Privacy and User Telemetry Considerations</w:t>
      </w:r>
      <w:r>
        <w:br/>
      </w:r>
      <w:r>
        <w:rPr>
          <w:rStyle w:val="VerbatimChar"/>
        </w:rPr>
        <w:t xml:space="preserve">5.4 Security Boundaries and Data Stewardship</w:t>
      </w:r>
      <w:r>
        <w:br/>
      </w:r>
      <w:r>
        <w:rPr>
          <w:rStyle w:val="VerbatimChar"/>
        </w:rPr>
        <w:t xml:space="preserve">5.5 Ethical Use of AI in Migration Decision-Making</w:t>
      </w:r>
      <w:r>
        <w:br/>
      </w:r>
      <w:r>
        <w:rPr>
          <w:rStyle w:val="VerbatimChar"/>
        </w:rPr>
        <w:t xml:space="preserve">5.6 AI Assistance Disclosure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part-6-what-to-draft-content-brief"/>
    <w:p>
      <w:pPr>
        <w:pStyle w:val="Heading2"/>
      </w:pPr>
      <w:r>
        <w:t xml:space="preserve">6. Part 6 — What to Draft (content brief)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06_conclusionsAndClosingThoughts.md</w:t>
      </w:r>
      <w:r>
        <w:br/>
      </w:r>
      <w:r>
        <w:t xml:space="preserve">Target: ~1 page</w:t>
      </w:r>
    </w:p>
    <w:bookmarkStart w:id="18" w:name="required-content"/>
    <w:p>
      <w:pPr>
        <w:pStyle w:val="Heading3"/>
      </w:pPr>
      <w:r>
        <w:t xml:space="preserve">Required content:</w:t>
      </w:r>
    </w:p>
    <w:p>
      <w:pPr>
        <w:pStyle w:val="Compact"/>
        <w:numPr>
          <w:ilvl w:val="0"/>
          <w:numId w:val="1004"/>
        </w:numPr>
      </w:pPr>
      <w:r>
        <w:t xml:space="preserve">Summary of the project and its findings</w:t>
      </w:r>
    </w:p>
    <w:p>
      <w:pPr>
        <w:pStyle w:val="Compact"/>
        <w:numPr>
          <w:ilvl w:val="0"/>
          <w:numId w:val="1004"/>
        </w:numPr>
      </w:pPr>
      <w:r>
        <w:t xml:space="preserve">Contribution (what this paper adds that prior work did not cover)</w:t>
      </w:r>
    </w:p>
    <w:p>
      <w:pPr>
        <w:pStyle w:val="Compact"/>
        <w:numPr>
          <w:ilvl w:val="0"/>
          <w:numId w:val="1004"/>
        </w:numPr>
      </w:pPr>
      <w:r>
        <w:t xml:space="preserve">Lessons learned</w:t>
      </w:r>
    </w:p>
    <w:p>
      <w:pPr>
        <w:pStyle w:val="Compact"/>
        <w:numPr>
          <w:ilvl w:val="0"/>
          <w:numId w:val="1004"/>
        </w:numPr>
      </w:pPr>
      <w:r>
        <w:t xml:space="preserve">Future work</w:t>
      </w:r>
    </w:p>
    <w:bookmarkEnd w:id="18"/>
    <w:bookmarkStart w:id="19" w:name="angle-to-use"/>
    <w:p>
      <w:pPr>
        <w:pStyle w:val="Heading3"/>
      </w:pPr>
      <w:r>
        <w:t xml:space="preserve">Angle to use:</w:t>
      </w:r>
    </w:p>
    <w:p>
      <w:pPr>
        <w:pStyle w:val="Compact"/>
        <w:numPr>
          <w:ilvl w:val="0"/>
          <w:numId w:val="1005"/>
        </w:numPr>
      </w:pPr>
      <w:r>
        <w:t xml:space="preserve">This is the first documented case (in the literature reviewed) of using Oracle-staged normalized telemetry + quantitative scoring models to drive an enterprise BI migration selection</w:t>
      </w:r>
    </w:p>
    <w:p>
      <w:pPr>
        <w:pStyle w:val="Compact"/>
        <w:numPr>
          <w:ilvl w:val="0"/>
          <w:numId w:val="1005"/>
        </w:numPr>
      </w:pPr>
      <w:r>
        <w:t xml:space="preserve">Lesson: staffing and training access constrain delivery more than technical complexity does</w:t>
      </w:r>
    </w:p>
    <w:p>
      <w:pPr>
        <w:pStyle w:val="Compact"/>
        <w:numPr>
          <w:ilvl w:val="0"/>
          <w:numId w:val="1005"/>
        </w:numPr>
      </w:pPr>
      <w:r>
        <w:t xml:space="preserve">Future work: extend model to remaining ~640 workbooks, formalize Spotfire training program once vendor access is secured, automate conversion handoff pipeline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Xb8faf093d50ac5a026dba42be15b05dd0f5bb1b"/>
    <w:p>
      <w:pPr>
        <w:pStyle w:val="Heading2"/>
      </w:pPr>
      <w:r>
        <w:t xml:space="preserve">7. Key Technical Facts (needed across all remaining parts)</w:t>
      </w:r>
    </w:p>
    <w:bookmarkStart w:id="21" w:name="engsb-schema-8-tables-used"/>
    <w:p>
      <w:pPr>
        <w:pStyle w:val="Heading3"/>
      </w:pPr>
      <w:r>
        <w:t xml:space="preserve">ENGSB Schema (8 tables used):</w:t>
      </w:r>
    </w:p>
    <w:p>
      <w:pPr>
        <w:pStyle w:val="FirstParagraph"/>
      </w:pPr>
      <w:r>
        <w:t xml:space="preserve">Core:</w:t>
      </w:r>
      <w:r>
        <w:t xml:space="preserve"> </w:t>
      </w:r>
      <w:r>
        <w:rPr>
          <w:rStyle w:val="VerbatimChar"/>
        </w:rPr>
        <w:t xml:space="preserve">TBX_PROJECT_DMN</w:t>
      </w:r>
      <w:r>
        <w:t xml:space="preserve">,</w:t>
      </w:r>
      <w:r>
        <w:t xml:space="preserve"> </w:t>
      </w:r>
      <w:r>
        <w:rPr>
          <w:rStyle w:val="VerbatimChar"/>
        </w:rPr>
        <w:t xml:space="preserve">TBX_WORKBOOK_DMN_2</w:t>
      </w:r>
      <w:r>
        <w:t xml:space="preserve">,</w:t>
      </w:r>
      <w:r>
        <w:t xml:space="preserve"> </w:t>
      </w:r>
      <w:r>
        <w:rPr>
          <w:rStyle w:val="VerbatimChar"/>
        </w:rPr>
        <w:t xml:space="preserve">TBX_VIEW_DMN_2</w:t>
      </w:r>
      <w:r>
        <w:t xml:space="preserve">,</w:t>
      </w:r>
      <w:r>
        <w:t xml:space="preserve"> </w:t>
      </w:r>
      <w:r>
        <w:rPr>
          <w:rStyle w:val="VerbatimChar"/>
        </w:rPr>
        <w:t xml:space="preserve">TBX_PERSON_DMN</w:t>
      </w:r>
      <w:r>
        <w:t xml:space="preserve">,</w:t>
      </w:r>
      <w:r>
        <w:t xml:space="preserve"> </w:t>
      </w:r>
      <w:r>
        <w:rPr>
          <w:rStyle w:val="VerbatimChar"/>
        </w:rPr>
        <w:t xml:space="preserve">TBX_USAGE_VIEWS_FACT_2</w:t>
      </w:r>
      <w:r>
        <w:br/>
      </w:r>
      <w:r>
        <w:t xml:space="preserve">Enrichment:</w:t>
      </w:r>
      <w:r>
        <w:t xml:space="preserve"> </w:t>
      </w:r>
      <w:r>
        <w:rPr>
          <w:rStyle w:val="VerbatimChar"/>
        </w:rPr>
        <w:t xml:space="preserve">TBX_USER_DMN_2</w:t>
      </w:r>
      <w:r>
        <w:t xml:space="preserve">,</w:t>
      </w:r>
      <w:r>
        <w:t xml:space="preserve"> </w:t>
      </w:r>
      <w:r>
        <w:rPr>
          <w:rStyle w:val="VerbatimChar"/>
        </w:rPr>
        <w:t xml:space="preserve">TBX_PERSON_REGISTRY_FACT</w:t>
      </w:r>
      <w:r>
        <w:t xml:space="preserve">,</w:t>
      </w:r>
      <w:r>
        <w:t xml:space="preserve"> </w:t>
      </w:r>
      <w:r>
        <w:rPr>
          <w:rStyle w:val="VerbatimChar"/>
        </w:rPr>
        <w:t xml:space="preserve">TBX_DEPARTMENT_DMN</w:t>
      </w:r>
    </w:p>
    <w:bookmarkEnd w:id="21"/>
    <w:bookmarkStart w:id="22" w:name="probability-model-section-4.3"/>
    <w:p>
      <w:pPr>
        <w:pStyle w:val="Heading3"/>
      </w:pPr>
      <w:r>
        <w:t xml:space="preserve">Probability Model (Section 4.3):</w:t>
      </w:r>
    </w:p>
    <w:p>
      <w:pPr>
        <w:pStyle w:val="Compact"/>
        <w:numPr>
          <w:ilvl w:val="0"/>
          <w:numId w:val="1006"/>
        </w:numPr>
      </w:pPr>
      <w:r>
        <w:t xml:space="preserve">View:</w:t>
      </w:r>
      <w:r>
        <w:t xml:space="preserve"> </w:t>
      </w:r>
      <w:r>
        <w:rPr>
          <w:rStyle w:val="VerbatimChar"/>
        </w:rPr>
        <w:t xml:space="preserve">ENGSB.TBX_MAIN_PROBABILITY_FOCUS_2</w:t>
      </w:r>
    </w:p>
    <w:p>
      <w:pPr>
        <w:pStyle w:val="Compact"/>
        <w:numPr>
          <w:ilvl w:val="0"/>
          <w:numId w:val="1006"/>
        </w:numPr>
      </w:pPr>
      <w:r>
        <w:t xml:space="preserve">4 normalized features: recency (40%), persistence (30%), adoption (20%), volume (10%)</w:t>
      </w:r>
    </w:p>
    <w:p>
      <w:pPr>
        <w:pStyle w:val="Compact"/>
        <w:numPr>
          <w:ilvl w:val="0"/>
          <w:numId w:val="1006"/>
        </w:numPr>
      </w:pPr>
      <w:r>
        <w:t xml:space="preserve">Alignment tax: × (focus_hits / enterprise_hits)</w:t>
      </w:r>
    </w:p>
    <w:p>
      <w:pPr>
        <w:pStyle w:val="Compact"/>
        <w:numPr>
          <w:ilvl w:val="0"/>
          <w:numId w:val="1006"/>
        </w:numPr>
      </w:pPr>
      <w:r>
        <w:t xml:space="preserve">Free Rider threshold: ownership ratio &lt; 0.15</w:t>
      </w:r>
    </w:p>
    <w:p>
      <w:pPr>
        <w:pStyle w:val="Compact"/>
        <w:numPr>
          <w:ilvl w:val="0"/>
          <w:numId w:val="1006"/>
        </w:numPr>
      </w:pPr>
      <w:r>
        <w:t xml:space="preserve">Buckets: HIGH SUSTAINABILITY (≥0.50), MODERATE ADOPTION (≥0.25), LOW ADOPTION/STALE, ENTERPRISE UTILITY (Free Rider), NOT SCORED</w:t>
      </w:r>
    </w:p>
    <w:bookmarkEnd w:id="22"/>
    <w:bookmarkStart w:id="23" w:name="roi-priority-model-section-4.4"/>
    <w:p>
      <w:pPr>
        <w:pStyle w:val="Heading3"/>
      </w:pPr>
      <w:r>
        <w:t xml:space="preserve">ROI Priority Model (Section 4.4):</w:t>
      </w:r>
    </w:p>
    <w:p>
      <w:pPr>
        <w:pStyle w:val="Compact"/>
        <w:numPr>
          <w:ilvl w:val="0"/>
          <w:numId w:val="1007"/>
        </w:numPr>
      </w:pPr>
      <w:r>
        <w:t xml:space="preserve">View:</w:t>
      </w:r>
      <w:r>
        <w:t xml:space="preserve"> </w:t>
      </w:r>
      <w:r>
        <w:rPr>
          <w:rStyle w:val="VerbatimChar"/>
        </w:rPr>
        <w:t xml:space="preserve">ENGSB.TBX_MAIN_DETAILED_VIEW_2</w:t>
      </w:r>
    </w:p>
    <w:p>
      <w:pPr>
        <w:pStyle w:val="Compact"/>
        <w:numPr>
          <w:ilvl w:val="0"/>
          <w:numId w:val="1007"/>
        </w:numPr>
      </w:pPr>
      <w:r>
        <w:t xml:space="preserve">Activity floor: &lt; 10 focus visits = EXCLUDED</w:t>
      </w:r>
    </w:p>
    <w:p>
      <w:pPr>
        <w:pStyle w:val="Compact"/>
        <w:numPr>
          <w:ilvl w:val="0"/>
          <w:numId w:val="1007"/>
        </w:numPr>
      </w:pPr>
      <w:r>
        <w:t xml:space="preserve">Alignment hard cut: ratio &lt; 10% = ENTERPRISE FUNDING REQ.</w:t>
      </w:r>
    </w:p>
    <w:p>
      <w:pPr>
        <w:pStyle w:val="Compact"/>
        <w:numPr>
          <w:ilvl w:val="0"/>
          <w:numId w:val="1007"/>
        </w:numPr>
      </w:pPr>
      <w:r>
        <w:t xml:space="preserve">Score = 0.20×effort + 0.30×utilization×alignment + 0.50×usage_interest×alignment</w:t>
      </w:r>
    </w:p>
    <w:p>
      <w:pPr>
        <w:pStyle w:val="Compact"/>
        <w:numPr>
          <w:ilvl w:val="0"/>
          <w:numId w:val="1007"/>
        </w:numPr>
      </w:pPr>
      <w:r>
        <w:t xml:space="preserve">Priority buckets: PRIO 1 (≥0.35), PRIO 2 (≥0.10), PRIO 3 (&lt;0.10)</w:t>
      </w:r>
    </w:p>
    <w:p>
      <w:pPr>
        <w:pStyle w:val="Compact"/>
        <w:numPr>
          <w:ilvl w:val="0"/>
          <w:numId w:val="1007"/>
        </w:numPr>
      </w:pPr>
      <w:r>
        <w:t xml:space="preserve">Tiers: TIER 1 STRATEGIC CORE (≥0.40) → TIER 5 ENTERPRISE FUNDING</w:t>
      </w:r>
    </w:p>
    <w:bookmarkEnd w:id="23"/>
    <w:bookmarkStart w:id="24" w:name="selection-results"/>
    <w:p>
      <w:pPr>
        <w:pStyle w:val="Heading3"/>
      </w:pPr>
      <w:r>
        <w:t xml:space="preserve">Selection Results:</w:t>
      </w:r>
    </w:p>
    <w:p>
      <w:pPr>
        <w:pStyle w:val="Compact"/>
        <w:numPr>
          <w:ilvl w:val="0"/>
          <w:numId w:val="1008"/>
        </w:numPr>
      </w:pPr>
      <w:r>
        <w:t xml:space="preserve">660 workbooks survived validity filter</w:t>
      </w:r>
    </w:p>
    <w:p>
      <w:pPr>
        <w:pStyle w:val="Compact"/>
        <w:numPr>
          <w:ilvl w:val="0"/>
          <w:numId w:val="1008"/>
        </w:numPr>
      </w:pPr>
      <w:r>
        <w:t xml:space="preserve">20 workbooks met all three gates (probability + ROI + user validation)</w:t>
      </w:r>
    </w:p>
    <w:bookmarkEnd w:id="24"/>
    <w:bookmarkStart w:id="25" w:name="team"/>
    <w:p>
      <w:pPr>
        <w:pStyle w:val="Heading3"/>
      </w:pPr>
      <w:r>
        <w:t xml:space="preserve">Team:</w:t>
      </w:r>
    </w:p>
    <w:p>
      <w:pPr>
        <w:pStyle w:val="Compact"/>
        <w:numPr>
          <w:ilvl w:val="0"/>
          <w:numId w:val="1009"/>
        </w:numPr>
      </w:pPr>
      <w:r>
        <w:t xml:space="preserve">1 CRC Spotfire platform expert (part-time)</w:t>
      </w:r>
    </w:p>
    <w:p>
      <w:pPr>
        <w:pStyle w:val="Compact"/>
        <w:numPr>
          <w:ilvl w:val="0"/>
          <w:numId w:val="1009"/>
        </w:numPr>
      </w:pPr>
      <w:r>
        <w:t xml:space="preserve">1 CRC junior Spotfire developer (part-time)</w:t>
      </w:r>
    </w:p>
    <w:p>
      <w:pPr>
        <w:pStyle w:val="Compact"/>
        <w:numPr>
          <w:ilvl w:val="0"/>
          <w:numId w:val="1009"/>
        </w:numPr>
      </w:pPr>
      <w:r>
        <w:t xml:space="preserve">2 former Aera Tableau experts / zero Spotfire (part-time)</w:t>
      </w:r>
    </w:p>
    <w:p>
      <w:pPr>
        <w:pStyle w:val="Compact"/>
        <w:numPr>
          <w:ilvl w:val="0"/>
          <w:numId w:val="1009"/>
        </w:numPr>
      </w:pPr>
      <w:r>
        <w:t xml:space="preserve">2 business SMEs (validation only)</w:t>
      </w:r>
    </w:p>
    <w:p>
      <w:pPr>
        <w:pStyle w:val="Compact"/>
        <w:numPr>
          <w:ilvl w:val="0"/>
          <w:numId w:val="1009"/>
        </w:numPr>
      </w:pPr>
      <w:r>
        <w:t xml:space="preserve">Team lead = author = full-time, former Aera employee</w:t>
      </w:r>
    </w:p>
    <w:bookmarkEnd w:id="25"/>
    <w:bookmarkStart w:id="26" w:name="contractor-engagement"/>
    <w:p>
      <w:pPr>
        <w:pStyle w:val="Heading3"/>
      </w:pPr>
      <w:r>
        <w:t xml:space="preserve">Contractor engagement:</w:t>
      </w:r>
    </w:p>
    <w:p>
      <w:pPr>
        <w:pStyle w:val="Compact"/>
        <w:numPr>
          <w:ilvl w:val="0"/>
          <w:numId w:val="1010"/>
        </w:numPr>
      </w:pPr>
      <w:r>
        <w:t xml:space="preserve">Approved, communication sent to management 4/29/2026</w:t>
      </w:r>
    </w:p>
    <w:p>
      <w:pPr>
        <w:pStyle w:val="Compact"/>
        <w:numPr>
          <w:ilvl w:val="0"/>
          <w:numId w:val="1010"/>
        </w:numPr>
      </w:pPr>
      <w:r>
        <w:t xml:space="preserve">3 reports / 8 dashboards</w:t>
      </w:r>
    </w:p>
    <w:p>
      <w:pPr>
        <w:pStyle w:val="Compact"/>
        <w:numPr>
          <w:ilvl w:val="1"/>
          <w:numId w:val="1011"/>
        </w:numPr>
      </w:pPr>
      <w:r>
        <w:t xml:space="preserve">SA PROCESS High Water Cut List (Thermal RMT)</w:t>
      </w:r>
    </w:p>
    <w:p>
      <w:pPr>
        <w:pStyle w:val="Compact"/>
        <w:numPr>
          <w:ilvl w:val="1"/>
          <w:numId w:val="1011"/>
        </w:numPr>
      </w:pPr>
      <w:r>
        <w:t xml:space="preserve">Goldman Run Ticket (Thermal RMT)</w:t>
      </w:r>
    </w:p>
    <w:p>
      <w:pPr>
        <w:pStyle w:val="Compact"/>
        <w:numPr>
          <w:ilvl w:val="1"/>
          <w:numId w:val="1011"/>
        </w:numPr>
      </w:pPr>
      <w:r>
        <w:t xml:space="preserve">West Flank Disposal Temperature Survey (Asset Strategy)</w:t>
      </w:r>
    </w:p>
    <w:p>
      <w:pPr>
        <w:pStyle w:val="Compact"/>
        <w:numPr>
          <w:ilvl w:val="0"/>
          <w:numId w:val="1010"/>
        </w:numPr>
      </w:pPr>
      <w:r>
        <w:t xml:space="preserve">$4,400 USD, one-month fixed, June 2026 target</w:t>
      </w:r>
    </w:p>
    <w:p>
      <w:pPr>
        <w:pStyle w:val="Compact"/>
        <w:numPr>
          <w:ilvl w:val="0"/>
          <w:numId w:val="1010"/>
        </w:numPr>
      </w:pPr>
      <w:r>
        <w:t xml:space="preserve">Two-gate acceptance: technical sign-off + user sign-off</w:t>
      </w:r>
    </w:p>
    <w:bookmarkEnd w:id="26"/>
    <w:bookmarkStart w:id="27" w:name="key-dates"/>
    <w:p>
      <w:pPr>
        <w:pStyle w:val="Heading3"/>
      </w:pPr>
      <w:r>
        <w:t xml:space="preserve">Key dates:</w:t>
      </w:r>
    </w:p>
    <w:p>
      <w:pPr>
        <w:pStyle w:val="Compact"/>
        <w:numPr>
          <w:ilvl w:val="0"/>
          <w:numId w:val="1012"/>
        </w:numPr>
      </w:pPr>
      <w:r>
        <w:t xml:space="preserve">05/29/2025 — Management communication</w:t>
      </w:r>
    </w:p>
    <w:p>
      <w:pPr>
        <w:pStyle w:val="Compact"/>
        <w:numPr>
          <w:ilvl w:val="0"/>
          <w:numId w:val="1012"/>
        </w:numPr>
      </w:pPr>
      <w:r>
        <w:t xml:space="preserve">06/04/2025 — Project initiation</w:t>
      </w:r>
    </w:p>
    <w:p>
      <w:pPr>
        <w:pStyle w:val="Compact"/>
        <w:numPr>
          <w:ilvl w:val="0"/>
          <w:numId w:val="1012"/>
        </w:numPr>
      </w:pPr>
      <w:r>
        <w:t xml:space="preserve">12/30/2025 — Initial phase target</w:t>
      </w:r>
    </w:p>
    <w:p>
      <w:pPr>
        <w:pStyle w:val="Compact"/>
        <w:numPr>
          <w:ilvl w:val="0"/>
          <w:numId w:val="1012"/>
        </w:numPr>
      </w:pPr>
      <w:r>
        <w:t xml:space="preserve">12/2026 — Tableau license expires (hard sunset)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andoc-commands"/>
    <w:p>
      <w:pPr>
        <w:pStyle w:val="Heading2"/>
      </w:pPr>
      <w:r>
        <w:t xml:space="preserve">8. Pandoc Commands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"C:\Users\leste\OneDrive - UA Little Rock\2026\2026Spring\IFSC_77003_Data_Science\w14_final_project"</w:t>
      </w:r>
      <w:r>
        <w:br/>
      </w:r>
      <w:r>
        <w:br/>
      </w:r>
      <w:r>
        <w:rPr>
          <w:rStyle w:val="NormalTok"/>
        </w:rPr>
        <w:t xml:space="preserve">pandoc </w:t>
      </w:r>
      <w:r>
        <w:rPr>
          <w:rStyle w:val="StringTok"/>
        </w:rPr>
        <w:t xml:space="preserve">"03_dataSelectionResearchDesignAndMethods.md"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StringTok"/>
        </w:rPr>
        <w:t xml:space="preserve">"03_dataSelectionResearchDesignAndMethods.docx"</w:t>
      </w:r>
      <w:r>
        <w:br/>
      </w:r>
      <w:r>
        <w:rPr>
          <w:rStyle w:val="NormalTok"/>
        </w:rPr>
        <w:t xml:space="preserve">pandoc </w:t>
      </w:r>
      <w:r>
        <w:rPr>
          <w:rStyle w:val="StringTok"/>
        </w:rPr>
        <w:t xml:space="preserve">"04_analysisWork.md"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StringTok"/>
        </w:rPr>
        <w:t xml:space="preserve">"04_analysisWork.docx"</w:t>
      </w:r>
      <w:r>
        <w:br/>
      </w:r>
      <w:r>
        <w:rPr>
          <w:rStyle w:val="NormalTok"/>
        </w:rPr>
        <w:t xml:space="preserve">pandoc </w:t>
      </w:r>
      <w:r>
        <w:rPr>
          <w:rStyle w:val="StringTok"/>
        </w:rPr>
        <w:t xml:space="preserve">"05_discussionEthicsPrivacyAIDisclosure.md"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StringTok"/>
        </w:rPr>
        <w:t xml:space="preserve">"05_discussionEthicsPrivacyAIDisclosure.docx"</w:t>
      </w:r>
      <w:r>
        <w:br/>
      </w:r>
      <w:r>
        <w:rPr>
          <w:rStyle w:val="NormalTok"/>
        </w:rPr>
        <w:t xml:space="preserve">pandoc </w:t>
      </w:r>
      <w:r>
        <w:rPr>
          <w:rStyle w:val="StringTok"/>
        </w:rPr>
        <w:t xml:space="preserve">"06_conclusionsAndClosingThoughts.md"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StringTok"/>
        </w:rPr>
        <w:t xml:space="preserve">"06_conclusionsAndClosingThoughts.docx"</w:t>
      </w:r>
    </w:p>
    <w:p>
      <w:r>
        <w:pict>
          <v:rect style="width:0;height:1.5pt" o:hralign="center" o:hrstd="t" o:hr="t"/>
        </w:pict>
      </w:r>
    </w:p>
    <w:bookmarkEnd w:id="29"/>
    <w:bookmarkStart w:id="30" w:name="git-status-reminder"/>
    <w:p>
      <w:pPr>
        <w:pStyle w:val="Heading2"/>
      </w:pPr>
      <w:r>
        <w:t xml:space="preserve">9. Git Status Reminder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copilot/website-sync-fixes-20260428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Uncommitted:</w:t>
      </w:r>
      <w:r>
        <w:t xml:space="preserve"> </w:t>
      </w:r>
      <w:r>
        <w:t xml:space="preserve">Parts 3 and 4 (fully drafted)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yet drafted:</w:t>
      </w:r>
      <w:r>
        <w:t xml:space="preserve"> </w:t>
      </w:r>
      <w:r>
        <w:t xml:space="preserve">Parts 5, 6, 7, 8</w:t>
      </w:r>
    </w:p>
    <w:p>
      <w:pPr>
        <w:pStyle w:val="FirstParagraph"/>
      </w:pPr>
      <w:r>
        <w:t xml:space="preserve">Commit command after drafting tomorrow: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"C:\Users\leste\OneDrive - UA Little Rock\2026\2026Spring"</w:t>
      </w:r>
      <w:r>
        <w:br/>
      </w: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"Add Parts 3, 4, 5, 6 drafts - final paper content"</w:t>
      </w:r>
      <w:r>
        <w:br/>
      </w:r>
      <w:r>
        <w:rPr>
          <w:rStyle w:val="NormalTok"/>
        </w:rPr>
        <w:t xml:space="preserve">git push</w:t>
      </w:r>
    </w:p>
    <w:p>
      <w:r>
        <w:pict>
          <v:rect style="width:0;height:1.5pt" o:hralign="center" o:hrstd="t" o:hr="t"/>
        </w:pict>
      </w:r>
    </w:p>
    <w:bookmarkEnd w:id="30"/>
    <w:bookmarkStart w:id="31" w:name="style-rules-enforce-throughout"/>
    <w:p>
      <w:pPr>
        <w:pStyle w:val="Heading2"/>
      </w:pPr>
      <w:r>
        <w:t xml:space="preserve">10. Style Rules (enforce throughout)</w:t>
      </w:r>
    </w:p>
    <w:p>
      <w:pPr>
        <w:pStyle w:val="Compact"/>
        <w:numPr>
          <w:ilvl w:val="0"/>
          <w:numId w:val="1014"/>
        </w:numPr>
      </w:pPr>
      <w:r>
        <w:t xml:space="preserve">No personal names — role-based only</w:t>
      </w:r>
    </w:p>
    <w:p>
      <w:pPr>
        <w:pStyle w:val="Compact"/>
        <w:numPr>
          <w:ilvl w:val="0"/>
          <w:numId w:val="1014"/>
        </w:numPr>
      </w:pPr>
      <w:r>
        <w:t xml:space="preserve">KaTeX</w:t>
      </w:r>
      <w:r>
        <w:t xml:space="preserve"> </w:t>
      </w:r>
      <w:r>
        <w:rPr>
          <w:rStyle w:val="VerbatimChar"/>
        </w:rPr>
        <w:t xml:space="preserve">$$...$$</w:t>
      </w:r>
      <w:r>
        <w:t xml:space="preserve"> </w:t>
      </w:r>
      <w:r>
        <w:t xml:space="preserve">for scoring equations</w:t>
      </w:r>
    </w:p>
    <w:p>
      <w:pPr>
        <w:pStyle w:val="Compact"/>
        <w:numPr>
          <w:ilvl w:val="0"/>
          <w:numId w:val="1014"/>
        </w:numPr>
      </w:pPr>
      <w:r>
        <w:t xml:space="preserve">Tables for classification rules and feature inventories</w:t>
      </w:r>
    </w:p>
    <w:p>
      <w:pPr>
        <w:pStyle w:val="Compact"/>
        <w:numPr>
          <w:ilvl w:val="0"/>
          <w:numId w:val="1014"/>
        </w:numPr>
      </w:pPr>
      <w:r>
        <w:t xml:space="preserve">Part 3 = what and why | Part 4 = how and results | Part 5 = so what / governance | Part 6 = conclusions</w:t>
      </w:r>
    </w:p>
    <w:p>
      <w:pPr>
        <w:pStyle w:val="Compact"/>
        <w:numPr>
          <w:ilvl w:val="0"/>
          <w:numId w:val="1014"/>
        </w:numPr>
      </w:pPr>
      <w:r>
        <w:t xml:space="preserve">ENGSB = Engineering Sandbox (Oracle staging schema, not production)</w:t>
      </w:r>
    </w:p>
    <w:p>
      <w:pPr>
        <w:pStyle w:val="Compact"/>
        <w:numPr>
          <w:ilvl w:val="0"/>
          <w:numId w:val="1014"/>
        </w:numPr>
      </w:pPr>
      <w:r>
        <w:t xml:space="preserve">Author = team lead throughout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summary was generated by GitHub Copilot (Claude Sonnet 4.6) at the end of the May 4, 2026 session.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2026-05-04T22:51:24Z</dcterms:created>
  <dcterms:modified xsi:type="dcterms:W3CDTF">2026-05-04T22:51:24Z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