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6B6D4"/>
          <w:sz w:val="56"/>
          <w:szCs w:val="56"/>
        </w:rPr>
        <w:t xml:space="preserve">AI ENABLEMENT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6B6D4"/>
          <w:sz w:val="56"/>
          <w:szCs w:val="56"/>
        </w:rPr>
        <w:t xml:space="preserve">OPERATING MODEL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6B6D4"/>
          <w:sz w:val="56"/>
          <w:szCs w:val="56"/>
        </w:rPr>
        <w:t xml:space="preserve">STARTER KIT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Intake Forms • Scoring Rubrics • Governance Checklists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Comms Templates • Exec Briefing Deck • 90-Day Playbook</w:t>
      </w:r>
    </w:p>
    <w:p>
      <w:pPr>
        <w:spacing w:after="600"/>
        <w:jc w:val="center"/>
      </w:pPr>
      <w:r>
        <w:rPr>
          <w:color w:val="999999"/>
          <w:sz w:val="18"/>
          <w:szCs w:val="18"/>
        </w:rPr>
        <w:t xml:space="preserve">© 2026 Piero Porfirio. All rights reserved.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Table of Contents</w:t>
      </w:r>
    </w:p>
    <w:p>
      <w:pPr>
        <w:spacing w:after="120"/>
      </w:pPr>
      <w:r>
        <w:rPr>
          <w:sz w:val="24"/>
          <w:szCs w:val="24"/>
        </w:rPr>
        <w:t xml:space="preserve">1. AI Use-Case Intake Form</w:t>
      </w:r>
    </w:p>
    <w:p>
      <w:pPr>
        <w:spacing w:after="120"/>
      </w:pPr>
      <w:r>
        <w:rPr>
          <w:sz w:val="24"/>
          <w:szCs w:val="24"/>
        </w:rPr>
        <w:t xml:space="preserve">2. Use-Case Scoring Rubric</w:t>
      </w:r>
    </w:p>
    <w:p>
      <w:pPr>
        <w:spacing w:after="120"/>
      </w:pPr>
      <w:r>
        <w:rPr>
          <w:sz w:val="24"/>
          <w:szCs w:val="24"/>
        </w:rPr>
        <w:t xml:space="preserve">3. AI Governance Checklist (47 Items)</w:t>
      </w:r>
    </w:p>
    <w:p>
      <w:pPr>
        <w:spacing w:after="120"/>
      </w:pPr>
      <w:r>
        <w:rPr>
          <w:sz w:val="24"/>
          <w:szCs w:val="24"/>
        </w:rPr>
        <w:t xml:space="preserve">4. Rollout Communication Templates</w:t>
      </w:r>
    </w:p>
    <w:p>
      <w:pPr>
        <w:spacing w:after="120"/>
      </w:pPr>
      <w:r>
        <w:rPr>
          <w:sz w:val="24"/>
          <w:szCs w:val="24"/>
        </w:rPr>
        <w:t xml:space="preserve">5. Executive Briefing Deck Template</w:t>
      </w:r>
    </w:p>
    <w:p>
      <w:pPr>
        <w:spacing w:after="120"/>
      </w:pPr>
      <w:r>
        <w:rPr>
          <w:sz w:val="24"/>
          <w:szCs w:val="24"/>
        </w:rPr>
        <w:t xml:space="preserve">6. 90-Day Implementation Playbook</w:t>
      </w:r>
    </w:p>
    <w:p>
      <w:pPr>
        <w:spacing w:after="120"/>
      </w:pPr>
      <w:r>
        <w:rPr>
          <w:sz w:val="24"/>
          <w:szCs w:val="24"/>
        </w:rPr>
        <w:t xml:space="preserve">7. Usage Policy Template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1. AI Use-Case Intake Form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Use this form to standardize AI project proposals across your organization. Every business unit should submit one before starting any AI initiative.</w:t>
      </w:r>
    </w:p>
    <w:p>
      <w:pPr>
        <w:pStyle w:val="Heading2"/>
        <w:spacing w:before="300"/>
      </w:pPr>
      <w:r>
        <w:rPr>
          <w:b/>
          <w:bCs/>
          <w:color w:val="333333"/>
          <w:sz w:val="26"/>
          <w:szCs w:val="26"/>
        </w:rPr>
        <w:t xml:space="preserve">Section 1: Problem Statement</w:t>
      </w:r>
    </w:p>
    <w:p>
      <w:pPr>
        <w:spacing w:after="80"/>
      </w:pPr>
      <w:r>
        <w:rPr>
          <w:sz w:val="22"/>
          <w:szCs w:val="22"/>
        </w:rPr>
        <w:t xml:space="preserve">Project Name: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Business Unit: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Sponsor: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Date: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What problem are you trying to solve? (2-3 sentences):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What would happen if we did nothing? (1-2 sentences):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What does success look like? (Measurable outcome):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pStyle w:val="Heading2"/>
        <w:spacing w:before="300"/>
      </w:pPr>
      <w:r>
        <w:rPr>
          <w:b/>
          <w:bCs/>
          <w:color w:val="333333"/>
          <w:sz w:val="26"/>
          <w:szCs w:val="26"/>
        </w:rPr>
        <w:t xml:space="preserve">Section 2: Data Assessment</w:t>
      </w:r>
    </w:p>
    <w:p>
      <w:pPr>
        <w:spacing w:after="80"/>
      </w:pPr>
      <w:r>
        <w:rPr>
          <w:sz w:val="22"/>
          <w:szCs w:val="22"/>
        </w:rPr>
        <w:t xml:space="preserve">What data sources are needed?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Is the data currently available? (Y/N/Partial)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Data quality assessment (1-5):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Data governance status (Owned/Shared/Unknown):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Privacy/classification level (Public/Internal/Confidential/Restricted):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pStyle w:val="Heading2"/>
        <w:spacing w:before="300"/>
      </w:pPr>
      <w:r>
        <w:rPr>
          <w:b/>
          <w:bCs/>
          <w:color w:val="333333"/>
          <w:sz w:val="26"/>
          <w:szCs w:val="26"/>
        </w:rPr>
        <w:t xml:space="preserve">Section 3: Success Criteria</w:t>
      </w:r>
    </w:p>
    <w:p>
      <w:pPr>
        <w:spacing w:after="80"/>
      </w:pPr>
      <w:r>
        <w:rPr>
          <w:sz w:val="22"/>
          <w:szCs w:val="22"/>
        </w:rPr>
        <w:t xml:space="preserve">Primary KPI: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Target metric: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Baseline (current):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Timeline to achieve: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How will you measure this?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pStyle w:val="Heading2"/>
        <w:spacing w:before="300"/>
      </w:pPr>
      <w:r>
        <w:rPr>
          <w:b/>
          <w:bCs/>
          <w:color w:val="333333"/>
          <w:sz w:val="26"/>
          <w:szCs w:val="26"/>
        </w:rPr>
        <w:t xml:space="preserve">Section 4: Risk Classification</w:t>
      </w:r>
    </w:p>
    <w:p>
      <w:pPr>
        <w:spacing w:after="80"/>
      </w:pPr>
      <w:r>
        <w:rPr>
          <w:sz w:val="22"/>
          <w:szCs w:val="22"/>
        </w:rPr>
        <w:t xml:space="preserve">Regulatory risk (None/Low/Medium/High):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Bias/fairness risk (None/Low/Medium/High):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Reputational risk (None/Low/Medium/High):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Operational risk if AI fails (None/Low/Medium/High):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Data privacy risk (None/Low/Medium/High):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pStyle w:val="Heading2"/>
        <w:spacing w:before="300"/>
      </w:pPr>
      <w:r>
        <w:rPr>
          <w:b/>
          <w:bCs/>
          <w:color w:val="333333"/>
          <w:sz w:val="26"/>
          <w:szCs w:val="26"/>
        </w:rPr>
        <w:t xml:space="preserve">Section 5: Resource Requirements</w:t>
      </w:r>
    </w:p>
    <w:p>
      <w:pPr>
        <w:spacing w:after="80"/>
      </w:pPr>
      <w:r>
        <w:rPr>
          <w:sz w:val="22"/>
          <w:szCs w:val="22"/>
        </w:rPr>
        <w:t xml:space="preserve">Estimated budget: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Team members needed: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Technical resources (compute, data, tools):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Timeline: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Dependencies on other projects/teams: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pStyle w:val="Heading2"/>
        <w:spacing w:before="300"/>
      </w:pPr>
      <w:r>
        <w:rPr>
          <w:b/>
          <w:bCs/>
          <w:color w:val="333333"/>
          <w:sz w:val="26"/>
          <w:szCs w:val="26"/>
        </w:rPr>
        <w:t xml:space="preserve">Section 6: Stakeholder Sign-off</w:t>
      </w:r>
    </w:p>
    <w:p>
      <w:pPr>
        <w:spacing w:after="80"/>
      </w:pPr>
      <w:r>
        <w:rPr>
          <w:sz w:val="22"/>
          <w:szCs w:val="22"/>
        </w:rPr>
        <w:t xml:space="preserve">Business sponsor: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IT review: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Legal/compliance review: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Data owner review:</w:t>
      </w:r>
      <w:r>
        <w:rPr>
          <w:color w:val="CCCCCC"/>
          <w:sz w:val="22"/>
          <w:szCs w:val="22"/>
        </w:rPr>
        <w:t xml:space="preserve"> _______________________________</w:t>
      </w:r>
    </w:p>
    <w:p>
      <w:pPr>
        <w:spacing w:after="80"/>
      </w:pPr>
      <w:r>
        <w:rPr>
          <w:sz w:val="22"/>
          <w:szCs w:val="22"/>
        </w:rPr>
        <w:t xml:space="preserve">Final approval:</w:t>
      </w:r>
      <w:r>
        <w:rPr>
          <w:color w:val="CCCCCC"/>
          <w:sz w:val="22"/>
          <w:szCs w:val="22"/>
        </w:rPr>
        <w:t xml:space="preserve"> _______________________________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2. Use-Case Scoring Rubric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Score every AI proposal on the same scale. Weight each dimension based on your organization's priorities. Default weights: Impact 30%, Feasibility 25%, Data Readiness 25%, Risk 20%.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Impact Score (1-5): Revenue impact, cost savings, strategic value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1 = Minimal impact on revenue/costs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3 = Moderate impact ($50K-500K annually)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5 = Transformational impact ($500K+ annually)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Feasibility Score (1-5): Technical complexity, organizational readiness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1 = Requires significant new infrastructure/capabilities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3 = Moderate effort, some existing capabilities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5 = Can be implemented with current team and tools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Data Readiness Score (1-5): Data quality, volume, accessibility, governance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1 = Data does not exist or is completely inaccessible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3 = Data exists but needs significant preparation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5 = Data is clean, accessible, and well-governed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/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Risk Score (1-5, inverted): Regulatory risk, bias risk, reputational risk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1 = High risk (regulatory scrutiny, bias concerns, public visibility)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3 = Moderate risk (some concerns, manageable with controls)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  5 = Low risk (internal use, low regulatory impact, low bias potential)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3. AI Governance Checklist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47 items across 8 domains. Check each item as you verify compliance.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Data Privacy &amp; Security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Model Risk &amp; Bias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Vendor Management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Regulatory Compliance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Change Management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Incident Response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Monitoring &amp; Reporting</w:t>
      </w:r>
    </w:p>
    <w:p>
      <w:pPr>
        <w:pStyle w:val="Heading2"/>
        <w:spacing w:before="200"/>
      </w:pPr>
      <w:r>
        <w:rPr>
          <w:b/>
          <w:bCs/>
          <w:sz w:val="24"/>
          <w:szCs w:val="24"/>
        </w:rPr>
        <w:t xml:space="preserve">Training &amp; Awareness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4. Rollout Communication Templates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5 ready-to-send templates: CEO Announcement, Manager Briefing, Team FAQ, Training Invitation, Feedback Survey. See PRODUCT.md for full text of each template.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5. Executive Briefing Deck Template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12-slide structure: Program Vision → Why Now → Use-Case Pipeline → Governance Framework → Risk Assessment → Metrics Dashboard → 90-Day Roadmap → Team &amp; Responsibilities → Budget &amp; Resources → Quick Wins → Timeline → Q&amp;A. See PPTX file for the full template.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6. 90-Day Implementation Playbook</w:t>
      </w:r>
    </w:p>
    <w:p>
      <w:pPr>
        <w:spacing w:after="120"/>
      </w:pPr>
      <w:r>
        <w:rPr>
          <w:sz w:val="22"/>
          <w:szCs w:val="22"/>
        </w:rPr>
        <w:t xml:space="preserve">Weeks 1-2: Foundation — Stakeholder mapping, governance setup, intake form deployment, quick win identification</w:t>
      </w:r>
    </w:p>
    <w:p>
      <w:pPr>
        <w:spacing w:after="120"/>
      </w:pPr>
      <w:r>
        <w:rPr>
          <w:sz w:val="22"/>
          <w:szCs w:val="22"/>
        </w:rPr>
        <w:t xml:space="preserve">Weeks 3-4: First Wave — Pilot selection, data assessment, vendor evaluation, manager enablement sessions</w:t>
      </w:r>
    </w:p>
    <w:p>
      <w:pPr>
        <w:spacing w:after="120"/>
      </w:pPr>
      <w:r>
        <w:rPr>
          <w:sz w:val="22"/>
          <w:szCs w:val="22"/>
        </w:rPr>
        <w:t xml:space="preserve">Weeks 5-8: Execution — Pilot launch, monitoring framework, comms cadence, feedback collection</w:t>
      </w:r>
    </w:p>
    <w:p>
      <w:pPr>
        <w:spacing w:after="120"/>
      </w:pPr>
      <w:r>
        <w:rPr>
          <w:sz w:val="22"/>
          <w:szCs w:val="22"/>
        </w:rPr>
        <w:t xml:space="preserve">Weeks 9-12: Scale — Results reporting, pipeline expansion, governance refinement, org-wide rollout planning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7. Usage Policy Template</w:t>
      </w:r>
    </w:p>
    <w:p>
      <w:pPr>
        <w:spacing w:after="60"/>
      </w:pPr>
      <w:r>
        <w:rPr>
          <w:color w:val="555555"/>
          <w:sz w:val="22"/>
          <w:szCs w:val="22"/>
        </w:rPr>
        <w:t xml:space="preserve">This policy governs the use of AI tools and systems within the organization.</w:t>
      </w:r>
    </w:p>
    <w:p>
      <w:pPr>
        <w:spacing w:after="60"/>
      </w:pPr>
      <w:r>
        <w:rPr>
          <w:color w:val="333333"/>
          <w:sz w:val="22"/>
          <w:szCs w:val="22"/>
        </w:rPr>
        <w:t xml:space="preserve"/>
      </w:r>
    </w:p>
    <w:p>
      <w:pPr>
        <w:spacing w:after="60"/>
      </w:pPr>
      <w:r>
        <w:rPr>
          <w:color w:val="333333"/>
          <w:sz w:val="22"/>
          <w:szCs w:val="22"/>
        </w:rPr>
        <w:t xml:space="preserve">1. SCOPE: This policy applies to all employees, contractors, and third parties using AI tools on behalf of the organization.</w:t>
      </w:r>
    </w:p>
    <w:p>
      <w:pPr>
        <w:spacing w:after="60"/>
      </w:pPr>
      <w:r>
        <w:rPr>
          <w:color w:val="333333"/>
          <w:sz w:val="22"/>
          <w:szCs w:val="22"/>
        </w:rPr>
        <w:t xml:space="preserve">2. APPROVED TOOLS: Only AI tools on the approved list may be used for work purposes. The list is maintained by IT and reviewed quarterly.</w:t>
      </w:r>
    </w:p>
    <w:p>
      <w:pPr>
        <w:spacing w:after="60"/>
      </w:pPr>
      <w:r>
        <w:rPr>
          <w:color w:val="555555"/>
          <w:sz w:val="22"/>
          <w:szCs w:val="22"/>
        </w:rPr>
        <w:t xml:space="preserve">3. DATA HANDLING: No confidential or restricted data may be entered into external AI tools without prior approval from the data owner and legal review.</w:t>
      </w:r>
    </w:p>
    <w:p>
      <w:pPr>
        <w:spacing w:after="60"/>
      </w:pPr>
      <w:r>
        <w:rPr>
          <w:color w:val="555555"/>
          <w:sz w:val="22"/>
          <w:szCs w:val="22"/>
        </w:rPr>
        <w:t xml:space="preserve">4. AI-GENERATED CONTENT: All AI-generated content must be reviewed by a human before external publication. AI-generated code must be reviewed before production deployment.</w:t>
      </w:r>
    </w:p>
    <w:p>
      <w:pPr>
        <w:spacing w:after="60"/>
      </w:pPr>
      <w:r>
        <w:rPr>
          <w:color w:val="555555"/>
          <w:sz w:val="22"/>
          <w:szCs w:val="22"/>
        </w:rPr>
        <w:t xml:space="preserve">5. ACCURACY: Employees are responsible for verifying the accuracy of AI-generated outputs. AI is a tool, not a replacement for professional judgment.</w:t>
      </w:r>
    </w:p>
    <w:p>
      <w:pPr>
        <w:spacing w:after="60"/>
      </w:pPr>
      <w:r>
        <w:rPr>
          <w:color w:val="555555"/>
          <w:sz w:val="22"/>
          <w:szCs w:val="22"/>
        </w:rPr>
        <w:t xml:space="preserve">6. INCIDENT REPORTING: Any unexpected AI behavior, data leak, or compliance concern must be reported to IT Security within 24 hours.</w:t>
      </w:r>
    </w:p>
    <w:p>
      <w:pPr>
        <w:spacing w:after="60"/>
      </w:pPr>
      <w:r>
        <w:rPr>
          <w:color w:val="555555"/>
          <w:sz w:val="22"/>
          <w:szCs w:val="22"/>
        </w:rPr>
        <w:t xml:space="preserve">7. TRAINING: All users of AI tools must complete the organization's AI awareness training before receiving access.</w:t>
      </w:r>
    </w:p>
    <w:p>
      <w:pPr>
        <w:spacing w:after="60"/>
      </w:pPr>
      <w:r>
        <w:rPr>
          <w:color w:val="555555"/>
          <w:sz w:val="22"/>
          <w:szCs w:val="22"/>
        </w:rPr>
        <w:t xml:space="preserve">8. REVIEW: This policy is reviewed annually and updated as AI capabilities and regulations evolve.</w:t>
      </w:r>
    </w:p>
    <w:p>
      <w:r>
        <w:br/>
      </w:r>
    </w:p>
    <w:p>
      <w:pPr>
        <w:jc w:val="center"/>
      </w:pPr>
      <w:r>
        <w:rPr>
          <w:color w:val="999999"/>
          <w:sz w:val="16"/>
          <w:szCs w:val="16"/>
        </w:rPr>
        <w:t xml:space="preserve">© 2026 Piero Porfirio. All rights reserved. For personal and organizational use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2026-07-12T22:40:32.915Z</dcterms:created>
  <dcterms:modified xsi:type="dcterms:W3CDTF">2026-07-12T22:40:32.915Z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