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</w:pPr>
      <w:r>
        <w:rPr>
          <w:b/>
          <w:color w:val="0C1C3A"/>
          <w:sz w:val="44"/>
        </w:rPr>
        <w:t>National Pacific Bank: Transforming 42 Digital Products in 3 Weeks</w:t>
      </w:r>
    </w:p>
    <w:p>
      <w:pPr>
        <w:pStyle w:val="Heading2"/>
        <w:spacing w:before="280" w:after="80"/>
      </w:pPr>
      <w:r>
        <w:rPr>
          <w:b/>
          <w:color w:val="1E3A8A"/>
          <w:sz w:val="32"/>
        </w:rPr>
        <w:t>TransformHub Case Study — Retail &amp; Commercial Banking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E3A8A"/>
          <w:sz w:val="32"/>
        </w:rPr>
        <w:t>Executive Summary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Client:</w:t>
      </w:r>
      <w:r>
        <w:rPr>
          <w:sz w:val="20"/>
        </w:rPr>
        <w:t xml:space="preserve"> National Pacific Bank (NPB) — a top-15 Australian retail and commercial bank with $184B AUM, 6.2M customers, and 8,400 employees across 47 branches.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Challenge:</w:t>
      </w:r>
      <w:r>
        <w:rPr>
          <w:sz w:val="20"/>
        </w:rPr>
        <w:t xml:space="preserve"> NPB's Digital Transformation Office (DTO) needed a defensible, data-grounded baseline across 42 digital products to justify a $38M three-year automation investment to the board. Manual VSM workshops had already consumed $1.6M and 6 months, producing inconsistent, rapidly-outdated outputs.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Approach:</w:t>
      </w:r>
      <w:r>
        <w:rPr>
          <w:sz w:val="20"/>
        </w:rPr>
        <w:t xml:space="preserve"> NPB deployed TransformHub across their entire digital product portfolio, connecting it to their Atlassian Jira instance (18,000+ epics, 94,000 tickets), uploading 340+ architecture and benchmark documents, and running 18 AI agents across all business segments.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Results:</w:t>
      </w:r>
      <w:r>
        <w:rPr>
          <w:sz w:val="20"/>
        </w:rPr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Full portfolio baseline in 17 days</w:t>
      </w:r>
      <w:r>
        <w:rPr>
          <w:sz w:val="20"/>
        </w:rPr>
        <w:t xml:space="preserve"> (vs 26+ weeks estimated for manual completion)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61 critical bottlenecks identified</w:t>
      </w:r>
      <w:r>
        <w:rPr>
          <w:sz w:val="20"/>
        </w:rPr>
        <w:t xml:space="preserve"> across 42 products — 14 previously undetected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Flow efficiency baseline:</w:t>
      </w:r>
      <w:r>
        <w:rPr>
          <w:sz w:val="20"/>
        </w:rPr>
        <w:t xml:space="preserve"> 18.3% portfolio average (vs industry p50 of 23.4% for banking)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Investment reallocation:</w:t>
      </w:r>
      <w:r>
        <w:rPr>
          <w:sz w:val="20"/>
        </w:rPr>
        <w:t xml:space="preserve"> $8.4M shifted from low-ROI initiatives to three high-impact bottleneck interventions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Board pack produced</w:t>
      </w:r>
      <w:r>
        <w:rPr>
          <w:sz w:val="20"/>
        </w:rPr>
        <w:t xml:space="preserve"> with audit-trailed, benchmark-grounded analysis — approved in first review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E3A8A"/>
          <w:sz w:val="32"/>
        </w:rPr>
        <w:t>Client Background</w:t>
      </w:r>
    </w:p>
    <w:p>
      <w:pPr>
        <w:spacing w:after="80"/>
      </w:pPr>
      <w:r>
        <w:rPr>
          <w:sz w:val="20"/>
        </w:rPr>
        <w:t>National Pacific Bank operates across four business segments: Consumer Banking, SME Lending, Wealth Management, and Corporate Treasury. Their digital estate spans: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42 digital products</w:t>
      </w:r>
      <w:r>
        <w:rPr>
          <w:sz w:val="20"/>
        </w:rPr>
        <w:t xml:space="preserve"> ranging from a 12-year-old core banking platform to recently-launched mobile investment apps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7 product engineering tribes</w:t>
      </w:r>
      <w:r>
        <w:rPr>
          <w:sz w:val="20"/>
        </w:rPr>
        <w:t xml:space="preserve"> totalling ~380 engineers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3 data centres</w:t>
      </w:r>
      <w:r>
        <w:rPr>
          <w:sz w:val="20"/>
        </w:rPr>
        <w:t xml:space="preserve"> plus AWS Sydney and Azure East Australia hybrid cloud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Primary tooling:</w:t>
      </w:r>
      <w:r>
        <w:rPr>
          <w:sz w:val="20"/>
        </w:rPr>
        <w:t xml:space="preserve"> Atlassian Jira (agile delivery), Confluence (documentation), ServiceNow (ITSM), Salesforce (CRM)</w:t>
      </w:r>
    </w:p>
    <w:p>
      <w:pPr>
        <w:spacing w:after="80"/>
      </w:pPr>
      <w:r>
        <w:rPr>
          <w:sz w:val="20"/>
        </w:rPr>
        <w:t>NPB had been on a formal digital transformation journey since 2021. By late 2024, the DTO had successfully modernised 8 of their 42 products through a combination of rewrites and API wrapping. The remaining 34 products — representing 73% of customer touchpoints — still ran on legacy architectures with manual-intensive processes.</w:t>
      </w:r>
    </w:p>
    <w:p>
      <w:pPr>
        <w:spacing w:before="200" w:after="60"/>
      </w:pPr>
      <w:r>
        <w:rPr>
          <w:b/>
          <w:color w:val="2563EB"/>
          <w:sz w:val="26"/>
        </w:rPr>
        <w:t>The Strategic Context</w:t>
      </w:r>
    </w:p>
    <w:p>
      <w:pPr>
        <w:spacing w:after="80"/>
      </w:pPr>
      <w:r>
        <w:rPr>
          <w:sz w:val="20"/>
        </w:rPr>
        <w:t>The NPB board approved a Digital Acceleration Programme in Q3 2024 with $38M earmarked over three years for automation and AI-native capability uplift. The programme's success depended on credible prioritisation: which of the 34 remaining products would yield the highest ROI from automation investment?</w:t>
      </w:r>
    </w:p>
    <w:p>
      <w:pPr>
        <w:spacing w:after="80"/>
      </w:pPr>
      <w:r>
        <w:rPr>
          <w:sz w:val="20"/>
        </w:rPr>
        <w:t>The DTO's Head of Platform Strategy, Sarah Chen, described the problem:</w:t>
      </w:r>
    </w:p>
    <w:p>
      <w:pPr>
        <w:ind w:left="576"/>
      </w:pPr>
      <w:r>
        <w:rPr>
          <w:i/>
          <w:color w:val="2563EB"/>
          <w:sz w:val="20"/>
        </w:rPr>
        <w:t>*"We had gut instinct from our architects, contradicted by competing gut instinct from our product managers. We needed numbers. Real numbers. Not consultant estimates dressed up as data."*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E3A8A"/>
          <w:sz w:val="32"/>
        </w:rPr>
        <w:t>The Challenge</w:t>
      </w:r>
    </w:p>
    <w:p>
      <w:pPr>
        <w:spacing w:before="200" w:after="60"/>
      </w:pPr>
      <w:r>
        <w:rPr>
          <w:b/>
          <w:color w:val="2563EB"/>
          <w:sz w:val="26"/>
        </w:rPr>
        <w:t>Pain Point 1: Manual VSM Workshops Taking 6–8 Weeks Per Product</w:t>
      </w:r>
    </w:p>
    <w:p>
      <w:pPr>
        <w:spacing w:after="80"/>
      </w:pPr>
      <w:r>
        <w:rPr>
          <w:sz w:val="20"/>
        </w:rPr>
        <w:t>NPB's standard approach to value stream mapping required assembling 6–10 subject matter experts per product group for a series of facilitated workshops. Each workshop cycle took 3–4 weeks plus 2–4 weeks of documentation and analysis.</w:t>
      </w:r>
    </w:p>
    <w:p>
      <w:pPr>
        <w:spacing w:after="80"/>
      </w:pPr>
      <w:r>
        <w:rPr>
          <w:sz w:val="20"/>
        </w:rPr>
        <w:t xml:space="preserve">At this rate, completing baselines for the 34 remaining products would take </w:t>
      </w:r>
      <w:r>
        <w:rPr>
          <w:b/>
          <w:sz w:val="20"/>
        </w:rPr>
        <w:t>42–68 weeks and cost an estimated $2.8M</w:t>
      </w:r>
      <w:r>
        <w:rPr>
          <w:sz w:val="20"/>
        </w:rPr>
        <w:t xml:space="preserve"> in internal and external consultant time — before any transformation work began.</w:t>
      </w:r>
    </w:p>
    <w:p>
      <w:pPr>
        <w:spacing w:after="80"/>
      </w:pPr>
      <w:r>
        <w:rPr>
          <w:sz w:val="20"/>
        </w:rPr>
        <w:t>Three workshops completed in H1 2024 produced outputs of varying quality. The Consumer Digital workshop was rigorous; the Treasury workshop was superficial due to SME availability; the SME Lending workshop was abandoned halfway due to scope disagreement.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Quantified impact:</w:t>
      </w:r>
      <w:r>
        <w:rPr>
          <w:sz w:val="20"/>
        </w:rPr>
        <w:t xml:space="preserve"> $2.8M estimated cost, 42–68 weeks to completion, 0% of portfolio baselined after 6 months.</w:t>
      </w:r>
    </w:p>
    <w:p>
      <w:pPr>
        <w:spacing w:before="200" w:after="60"/>
      </w:pPr>
      <w:r>
        <w:rPr>
          <w:b/>
          <w:color w:val="2563EB"/>
          <w:sz w:val="26"/>
        </w:rPr>
        <w:t>Pain Point 2: Inconsistent Capability Discovery Across 42 Products</w:t>
      </w:r>
    </w:p>
    <w:p>
      <w:pPr>
        <w:spacing w:after="80"/>
      </w:pPr>
      <w:r>
        <w:rPr>
          <w:sz w:val="20"/>
        </w:rPr>
        <w:t>NPB's 42 digital products had been documented by 12 different architects over 10 years using 4 different taxonomy frameworks. Their Confluence space contained 2,340 architecture pages with no consistent capability hierarchy.</w:t>
      </w:r>
    </w:p>
    <w:p>
      <w:pPr>
        <w:spacing w:after="80"/>
      </w:pPr>
      <w:r>
        <w:rPr>
          <w:sz w:val="20"/>
        </w:rPr>
        <w:t>When the DTO attempted to build a unified L1–L3 capability map, they found:</w:t>
      </w:r>
    </w:p>
    <w:p>
      <w:pPr>
        <w:pStyle w:val="ListBullet"/>
        <w:ind w:left="432"/>
      </w:pPr>
      <w:r>
        <w:rPr>
          <w:sz w:val="20"/>
        </w:rPr>
        <w:t>The same capability referred to by 7 different names across documents</w:t>
      </w:r>
    </w:p>
    <w:p>
      <w:pPr>
        <w:pStyle w:val="ListBullet"/>
        <w:ind w:left="432"/>
      </w:pPr>
      <w:r>
        <w:rPr>
          <w:sz w:val="20"/>
        </w:rPr>
        <w:t>23 functionalities documented in Confluence that no longer existed in production</w:t>
      </w:r>
    </w:p>
    <w:p>
      <w:pPr>
        <w:pStyle w:val="ListBullet"/>
        <w:ind w:left="432"/>
      </w:pPr>
      <w:r>
        <w:rPr>
          <w:sz w:val="20"/>
        </w:rPr>
        <w:t>31 production functionalities with no documentation at all</w:t>
      </w:r>
    </w:p>
    <w:p>
      <w:pPr>
        <w:pStyle w:val="ListBullet"/>
        <w:ind w:left="432"/>
      </w:pPr>
      <w:r>
        <w:rPr>
          <w:sz w:val="20"/>
        </w:rPr>
        <w:t>No consistent distinction between L1 capabilities, L2 sub-capabilities, and L3 functionalities</w:t>
      </w:r>
    </w:p>
    <w:p>
      <w:pPr>
        <w:spacing w:after="80"/>
      </w:pPr>
      <w:r>
        <w:rPr>
          <w:sz w:val="20"/>
        </w:rPr>
        <w:t>Without a consistent baseline, investment prioritisation was impossible. Budget holders were arguing from incompatible capability models.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Quantified impact:</w:t>
      </w:r>
      <w:r>
        <w:rPr>
          <w:sz w:val="20"/>
        </w:rPr>
        <w:t xml:space="preserve"> 6 weeks of internal effort wasted on taxonomy reconciliation; programme governance stalled waiting for a unified model.</w:t>
      </w:r>
    </w:p>
    <w:p>
      <w:pPr>
        <w:spacing w:before="200" w:after="60"/>
      </w:pPr>
      <w:r>
        <w:rPr>
          <w:b/>
          <w:color w:val="2563EB"/>
          <w:sz w:val="26"/>
        </w:rPr>
        <w:t>Pain Point 3: No Data-Driven Basis for $38M Investment Prioritisation</w:t>
      </w:r>
    </w:p>
    <w:p>
      <w:pPr>
        <w:spacing w:after="80"/>
      </w:pPr>
      <w:r>
        <w:rPr>
          <w:sz w:val="20"/>
        </w:rPr>
        <w:t>The DTO's shortlist of automation investment candidates was built on a combination of:</w:t>
      </w:r>
    </w:p>
    <w:p>
      <w:pPr>
        <w:pStyle w:val="ListBullet"/>
        <w:ind w:left="432"/>
      </w:pPr>
      <w:r>
        <w:rPr>
          <w:sz w:val="20"/>
        </w:rPr>
        <w:t>Architecture review board opinions</w:t>
      </w:r>
    </w:p>
    <w:p>
      <w:pPr>
        <w:pStyle w:val="ListBullet"/>
        <w:ind w:left="432"/>
      </w:pPr>
      <w:r>
        <w:rPr>
          <w:sz w:val="20"/>
        </w:rPr>
        <w:t>NPS complaints from front-line bankers about slow processes</w:t>
      </w:r>
    </w:p>
    <w:p>
      <w:pPr>
        <w:pStyle w:val="ListBullet"/>
        <w:ind w:left="432"/>
      </w:pPr>
      <w:r>
        <w:rPr>
          <w:sz w:val="20"/>
        </w:rPr>
        <w:t>A 2021 Gartner benchmarking report that pre-dated their current architecture</w:t>
      </w:r>
    </w:p>
    <w:p>
      <w:pPr>
        <w:spacing w:after="80"/>
      </w:pPr>
      <w:r>
        <w:rPr>
          <w:sz w:val="20"/>
        </w:rPr>
        <w:t>The absence of quantified bottleneck data meant that the three largest proposed investment items — a payment processing automation ($12M), a KYC workflow rebuild ($9M), and a document processing AI layer ($7M) — were ranked based on executive advocacy rather than flow impact evidence.</w:t>
      </w:r>
    </w:p>
    <w:p>
      <w:pPr>
        <w:spacing w:after="80"/>
      </w:pPr>
      <w:r>
        <w:rPr>
          <w:sz w:val="20"/>
        </w:rPr>
        <w:t>The risk: $28M committed to initiatives that might not address the actual flow efficiency constraints.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E3A8A"/>
          <w:sz w:val="32"/>
        </w:rPr>
        <w:t>The Approach</w:t>
      </w:r>
    </w:p>
    <w:p>
      <w:pPr>
        <w:spacing w:before="200" w:after="60"/>
      </w:pPr>
      <w:r>
        <w:rPr>
          <w:b/>
          <w:color w:val="2563EB"/>
          <w:sz w:val="26"/>
        </w:rPr>
        <w:t>Platform Configuration (Days 1–3)</w:t>
      </w:r>
    </w:p>
    <w:p>
      <w:pPr>
        <w:spacing w:after="80"/>
      </w:pPr>
      <w:r>
        <w:rPr>
          <w:sz w:val="20"/>
        </w:rPr>
        <w:t xml:space="preserve">NPB's cloud infrastructure team provisioned TransformHub on their Azure Kubernetes Service cluster using the provided K8s manifests. Single sign-on was configured via Azure Entra ID with domain provisioning — all </w:t>
      </w:r>
      <w:r>
        <w:rPr>
          <w:rFonts w:ascii="Courier New" w:hAnsi="Courier New"/>
          <w:color w:val="1D4ED8"/>
          <w:sz w:val="18"/>
        </w:rPr>
        <w:t>@npb.com.au</w:t>
      </w:r>
      <w:r>
        <w:rPr>
          <w:sz w:val="20"/>
        </w:rPr>
        <w:t xml:space="preserve"> users automatically onboarded to the NPB tenant.</w:t>
      </w:r>
    </w:p>
    <w:p>
      <w:pPr>
        <w:spacing w:after="80"/>
      </w:pPr>
      <w:r>
        <w:rPr>
          <w:sz w:val="20"/>
        </w:rPr>
        <w:t>RBAC was configured across three roles: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SUPER_ADMIN</w:t>
      </w:r>
      <w:r>
        <w:rPr>
          <w:sz w:val="20"/>
        </w:rPr>
        <w:t>: 2 DTO architects (full platform access)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ANALYST</w:t>
      </w:r>
      <w:r>
        <w:rPr>
          <w:sz w:val="20"/>
        </w:rPr>
        <w:t>: 12 product engineering leads (run agents, review outputs, apply overrides)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VIEWER</w:t>
      </w:r>
      <w:r>
        <w:rPr>
          <w:sz w:val="20"/>
        </w:rPr>
        <w:t>: 45 business stakeholders (read-only access to dashboards)</w:t>
      </w:r>
    </w:p>
    <w:p>
      <w:pPr>
        <w:spacing w:after="80"/>
      </w:pPr>
      <w:r>
        <w:rPr>
          <w:sz w:val="20"/>
        </w:rPr>
        <w:t>Row-Level Security ensured segment-level isolation — Consumer Banking analysts could not access Wealth Management product data.</w:t>
      </w:r>
    </w:p>
    <w:p>
      <w:pPr>
        <w:spacing w:before="200" w:after="60"/>
      </w:pPr>
      <w:r>
        <w:rPr>
          <w:b/>
          <w:color w:val="2563EB"/>
          <w:sz w:val="26"/>
        </w:rPr>
        <w:t>Knowledge Base Population (Days 1–4, parallel)</w:t>
      </w:r>
    </w:p>
    <w:p>
      <w:pPr>
        <w:spacing w:after="80"/>
      </w:pPr>
      <w:r>
        <w:rPr>
          <w:sz w:val="20"/>
        </w:rPr>
        <w:t>NPB uploaded 340 documents across 8 categories: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2928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Documents</w:t>
            </w:r>
          </w:p>
        </w:tc>
        <w:tc>
          <w:tcPr>
            <w:tcW w:type="dxa" w:w="2928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Examples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ARCHITECTURE_STANDARDS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47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Enterprise architecture patterns, API gateway standards</w:t>
            </w:r>
          </w:p>
        </w:tc>
      </w:tr>
      <w:tr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CURRENT_STATE</w:t>
            </w:r>
          </w:p>
        </w:tc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112</w:t>
            </w:r>
          </w:p>
        </w:tc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System architecture docs, integration maps, runbooks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VSM_BENCHMARKS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Industry lean benchmarks, APRA process timing studies</w:t>
            </w:r>
          </w:p>
        </w:tc>
      </w:tr>
      <w:tr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TRANSFORMATION_CASE_STUDIES</w:t>
            </w:r>
          </w:p>
        </w:tc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ANZ Banking cloud transformation, ING Direct re-platform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FUTURE_STATE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Target architecture blueprints, 2027 capability roadmap</w:t>
            </w:r>
          </w:p>
        </w:tc>
      </w:tr>
      <w:tr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TECH_TREND</w:t>
            </w:r>
          </w:p>
        </w:tc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AI automation research, RPA implementation guides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COMPETITOR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Public disclosure analysis of CBA, Westpac digital capabilities</w:t>
            </w:r>
          </w:p>
        </w:tc>
      </w:tr>
      <w:tr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AGENT_OUTPUT</w:t>
            </w:r>
          </w:p>
        </w:tc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(auto-populated)</w:t>
            </w:r>
          </w:p>
        </w:tc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Prior agent outputs fed back as context</w:t>
            </w:r>
          </w:p>
        </w:tc>
      </w:tr>
    </w:tbl>
    <w:p/>
    <w:p>
      <w:pPr>
        <w:spacing w:after="80"/>
      </w:pPr>
      <w:r>
        <w:rPr>
          <w:sz w:val="20"/>
        </w:rPr>
        <w:t>All 340 documents were auto-chunked into 2,847 semantic chunks and embedded into the HNSW vector index. The multi-query RAG pipeline ensured each agent execution retrieved the 25 most relevant chunks from this institutional knowledge — grounding every AI analysis in NPB's own documentation.</w:t>
      </w:r>
    </w:p>
    <w:p>
      <w:pPr>
        <w:spacing w:before="200" w:after="60"/>
      </w:pPr>
      <w:r>
        <w:rPr>
          <w:b/>
          <w:color w:val="2563EB"/>
          <w:sz w:val="26"/>
        </w:rPr>
        <w:t>Jira Integration (Day 2)</w:t>
      </w:r>
    </w:p>
    <w:p>
      <w:pPr>
        <w:spacing w:after="80"/>
      </w:pPr>
      <w:r>
        <w:rPr>
          <w:sz w:val="20"/>
        </w:rPr>
        <w:t xml:space="preserve">NPB's Jira instance was connected via the ExternalIntegration API. Four project keys were configured: </w:t>
      </w:r>
      <w:r>
        <w:rPr>
          <w:rFonts w:ascii="Courier New" w:hAnsi="Courier New"/>
          <w:color w:val="1D4ED8"/>
          <w:sz w:val="18"/>
        </w:rPr>
        <w:t>CONDIG</w:t>
      </w:r>
      <w:r>
        <w:rPr>
          <w:sz w:val="20"/>
        </w:rPr>
        <w:t xml:space="preserve"> (Consumer Digital), </w:t>
      </w:r>
      <w:r>
        <w:rPr>
          <w:rFonts w:ascii="Courier New" w:hAnsi="Courier New"/>
          <w:color w:val="1D4ED8"/>
          <w:sz w:val="18"/>
        </w:rPr>
        <w:t>SMELEND</w:t>
      </w:r>
      <w:r>
        <w:rPr>
          <w:sz w:val="20"/>
        </w:rPr>
        <w:t xml:space="preserve"> (SME Lending), </w:t>
      </w:r>
      <w:r>
        <w:rPr>
          <w:rFonts w:ascii="Courier New" w:hAnsi="Courier New"/>
          <w:color w:val="1D4ED8"/>
          <w:sz w:val="18"/>
        </w:rPr>
        <w:t>WEALTH</w:t>
      </w:r>
      <w:r>
        <w:rPr>
          <w:sz w:val="20"/>
        </w:rPr>
        <w:t xml:space="preserve"> (Wealth Management), </w:t>
      </w:r>
      <w:r>
        <w:rPr>
          <w:rFonts w:ascii="Courier New" w:hAnsi="Courier New"/>
          <w:color w:val="1D4ED8"/>
          <w:sz w:val="18"/>
        </w:rPr>
        <w:t>CORP</w:t>
      </w:r>
      <w:r>
        <w:rPr>
          <w:sz w:val="20"/>
        </w:rPr>
        <w:t xml:space="preserve"> (Corporate).</w:t>
      </w:r>
    </w:p>
    <w:p>
      <w:pPr>
        <w:spacing w:after="80"/>
      </w:pPr>
      <w:r>
        <w:rPr>
          <w:sz w:val="20"/>
        </w:rPr>
        <w:t>The Tier 3a cycle time extraction job ran across all four projects, processing:</w:t>
      </w:r>
    </w:p>
    <w:p>
      <w:pPr>
        <w:pStyle w:val="ListBullet"/>
        <w:ind w:left="432"/>
      </w:pPr>
      <w:r>
        <w:rPr>
          <w:sz w:val="20"/>
        </w:rPr>
        <w:t>18,437 Jira issues (Epics, Stories, Tasks)</w:t>
      </w:r>
    </w:p>
    <w:p>
      <w:pPr>
        <w:pStyle w:val="ListBullet"/>
        <w:ind w:left="432"/>
      </w:pPr>
      <w:r>
        <w:rPr>
          <w:sz w:val="20"/>
        </w:rPr>
        <w:t>94,000+ changelog events</w:t>
      </w:r>
    </w:p>
    <w:p>
      <w:pPr>
        <w:pStyle w:val="ListBullet"/>
        <w:ind w:left="432"/>
      </w:pPr>
      <w:r>
        <w:rPr>
          <w:sz w:val="20"/>
        </w:rPr>
        <w:t>11,200 status transitions with timestamp data</w:t>
      </w:r>
    </w:p>
    <w:p>
      <w:pPr>
        <w:spacing w:after="80"/>
      </w:pPr>
      <w:r>
        <w:rPr>
          <w:sz w:val="20"/>
        </w:rPr>
        <w:t>The extraction computed per-status dwell times and mapped them to process/wait time hours using the configured status taxonomy:</w:t>
      </w:r>
    </w:p>
    <w:p>
      <w:pPr>
        <w:pStyle w:val="ListBullet"/>
        <w:ind w:left="432"/>
      </w:pPr>
      <w:r>
        <w:rPr>
          <w:sz w:val="20"/>
        </w:rPr>
      </w:r>
      <w:r>
        <w:rPr>
          <w:rFonts w:ascii="Courier New" w:hAnsi="Courier New"/>
          <w:color w:val="1D4ED8"/>
          <w:sz w:val="18"/>
        </w:rPr>
        <w:t>In Progress</w:t>
      </w:r>
      <w:r>
        <w:rPr>
          <w:sz w:val="20"/>
        </w:rPr>
        <w:t xml:space="preserve">, </w:t>
      </w:r>
      <w:r>
        <w:rPr>
          <w:rFonts w:ascii="Courier New" w:hAnsi="Courier New"/>
          <w:color w:val="1D4ED8"/>
          <w:sz w:val="18"/>
        </w:rPr>
        <w:t>In Development</w:t>
      </w:r>
      <w:r>
        <w:rPr>
          <w:sz w:val="20"/>
        </w:rPr>
        <w:t xml:space="preserve">, </w:t>
      </w:r>
      <w:r>
        <w:rPr>
          <w:rFonts w:ascii="Courier New" w:hAnsi="Courier New"/>
          <w:color w:val="1D4ED8"/>
          <w:sz w:val="18"/>
        </w:rPr>
        <w:t>Active</w:t>
      </w:r>
      <w:r>
        <w:rPr>
          <w:sz w:val="20"/>
        </w:rPr>
        <w:t xml:space="preserve"> → process_time</w:t>
      </w:r>
    </w:p>
    <w:p>
      <w:pPr>
        <w:pStyle w:val="ListBullet"/>
        <w:ind w:left="432"/>
      </w:pPr>
      <w:r>
        <w:rPr>
          <w:sz w:val="20"/>
        </w:rPr>
      </w:r>
      <w:r>
        <w:rPr>
          <w:rFonts w:ascii="Courier New" w:hAnsi="Courier New"/>
          <w:color w:val="1D4ED8"/>
          <w:sz w:val="18"/>
        </w:rPr>
        <w:t>Blocked</w:t>
      </w:r>
      <w:r>
        <w:rPr>
          <w:sz w:val="20"/>
        </w:rPr>
        <w:t xml:space="preserve">, </w:t>
      </w:r>
      <w:r>
        <w:rPr>
          <w:rFonts w:ascii="Courier New" w:hAnsi="Courier New"/>
          <w:color w:val="1D4ED8"/>
          <w:sz w:val="18"/>
        </w:rPr>
        <w:t>Waiting for Review</w:t>
      </w:r>
      <w:r>
        <w:rPr>
          <w:sz w:val="20"/>
        </w:rPr>
        <w:t xml:space="preserve">, </w:t>
      </w:r>
      <w:r>
        <w:rPr>
          <w:rFonts w:ascii="Courier New" w:hAnsi="Courier New"/>
          <w:color w:val="1D4ED8"/>
          <w:sz w:val="18"/>
        </w:rPr>
        <w:t>On Hold</w:t>
      </w:r>
      <w:r>
        <w:rPr>
          <w:sz w:val="20"/>
        </w:rPr>
        <w:t xml:space="preserve"> → wait_time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Result:</w:t>
      </w:r>
      <w:r>
        <w:rPr>
          <w:sz w:val="20"/>
        </w:rPr>
        <w:t xml:space="preserve"> 2,847 value stream steps updated with </w:t>
      </w:r>
      <w:r>
        <w:rPr>
          <w:rFonts w:ascii="Courier New" w:hAnsi="Courier New"/>
          <w:color w:val="1D4ED8"/>
          <w:sz w:val="18"/>
        </w:rPr>
        <w:t>jira_measured</w:t>
      </w:r>
      <w:r>
        <w:rPr>
          <w:sz w:val="20"/>
        </w:rPr>
        <w:t xml:space="preserve"> timing data (confidence 0.72–0.94 based on changelog depth).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E3A8A"/>
          <w:sz w:val="32"/>
        </w:rPr>
        <w:t>Phase 1: Discovery &amp; Baseline (Days 3–9)</w:t>
      </w:r>
    </w:p>
    <w:p>
      <w:pPr>
        <w:spacing w:before="200" w:after="60"/>
      </w:pPr>
      <w:r>
        <w:rPr>
          <w:b/>
          <w:color w:val="2563EB"/>
          <w:sz w:val="26"/>
        </w:rPr>
        <w:t>Running the Discovery Agent</w:t>
      </w:r>
    </w:p>
    <w:p>
      <w:pPr>
        <w:spacing w:after="80"/>
      </w:pPr>
      <w:r>
        <w:rPr>
          <w:sz w:val="20"/>
        </w:rPr>
        <w:t>The Discovery agent was run across all four business segments over 3 days, with analysts selecting the appropriate business segment before each run.</w:t>
      </w:r>
    </w:p>
    <w:p>
      <w:pPr>
        <w:spacing w:after="80"/>
      </w:pPr>
      <w:r>
        <w:rPr>
          <w:sz w:val="20"/>
        </w:rPr>
        <w:t>Each run took 8–14 minutes and produced a complete L1–L3 capability hierarchy for the segment.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Aggregate discovery results across 42 products: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4392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Digital products discovered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42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sz w:val="18"/>
              </w:rPr>
              <w:t>L1 digital capabilities</w:t>
            </w:r>
          </w:p>
        </w:tc>
        <w:tc>
          <w:tcPr>
            <w:tcW w:type="dxa" w:w="4392"/>
            <w:shd w:val="clear" w:color="auto" w:fill="EFF6FF"/>
          </w:tcPr>
          <w:p>
            <w:r>
              <w:rPr>
                <w:sz w:val="18"/>
              </w:rPr>
              <w:t>187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L2 sub-capabilities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641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sz w:val="18"/>
              </w:rPr>
              <w:t>L3 functionalities</w:t>
            </w:r>
          </w:p>
        </w:tc>
        <w:tc>
          <w:tcPr>
            <w:tcW w:type="dxa" w:w="4392"/>
            <w:shd w:val="clear" w:color="auto" w:fill="EFF6FF"/>
          </w:tcPr>
          <w:p>
            <w:r>
              <w:rPr>
                <w:sz w:val="18"/>
              </w:rPr>
              <w:t>2,847</w:t>
            </w:r>
          </w:p>
        </w:tc>
      </w:tr>
      <w:tr>
        <w:tc>
          <w:tcPr>
            <w:tcW w:type="dxa" w:w="4392"/>
          </w:tcPr>
          <w:p>
            <w:r>
              <w:rPr>
                <w:sz w:val="18"/>
              </w:rPr>
              <w:t>Product groups identified</w:t>
            </w:r>
          </w:p>
        </w:tc>
        <w:tc>
          <w:tcPr>
            <w:tcW w:type="dxa" w:w="4392"/>
          </w:tcPr>
          <w:p>
            <w:r>
              <w:rPr>
                <w:sz w:val="18"/>
              </w:rPr>
              <w:t>94</w:t>
            </w:r>
          </w:p>
        </w:tc>
      </w:tr>
      <w:tr>
        <w:tc>
          <w:tcPr>
            <w:tcW w:type="dxa" w:w="4392"/>
            <w:shd w:val="clear" w:color="auto" w:fill="EFF6FF"/>
          </w:tcPr>
          <w:p>
            <w:r>
              <w:rPr>
                <w:sz w:val="18"/>
              </w:rPr>
              <w:t>Value stream steps created</w:t>
            </w:r>
          </w:p>
        </w:tc>
        <w:tc>
          <w:tcPr>
            <w:tcW w:type="dxa" w:w="4392"/>
            <w:shd w:val="clear" w:color="auto" w:fill="EFF6FF"/>
          </w:tcPr>
          <w:p>
            <w:r>
              <w:rPr>
                <w:sz w:val="18"/>
              </w:rPr>
              <w:t>1,204</w:t>
            </w:r>
          </w:p>
        </w:tc>
      </w:tr>
    </w:tbl>
    <w:p/>
    <w:p>
      <w:pPr>
        <w:spacing w:after="80"/>
      </w:pPr>
      <w:r>
        <w:rPr>
          <w:sz w:val="20"/>
        </w:rPr>
        <w:t xml:space="preserve">Critically, the Discovery agent identified </w:t>
      </w:r>
      <w:r>
        <w:rPr>
          <w:b/>
          <w:sz w:val="20"/>
        </w:rPr>
        <w:t>31 functionalities present in production code with no existing documentation</w:t>
      </w:r>
      <w:r>
        <w:rPr>
          <w:sz w:val="20"/>
        </w:rPr>
        <w:t xml:space="preserve"> and flagged </w:t>
      </w:r>
      <w:r>
        <w:rPr>
          <w:b/>
          <w:sz w:val="20"/>
        </w:rPr>
        <w:t>23 Confluence-documented functionalities as inactive</w:t>
      </w:r>
      <w:r>
        <w:rPr>
          <w:sz w:val="20"/>
        </w:rPr>
        <w:t xml:space="preserve"> — resolving the taxonomy conflict that had blocked the DTO for 6 weeks.</w:t>
      </w:r>
    </w:p>
    <w:p>
      <w:pPr>
        <w:spacing w:before="200" w:after="60"/>
      </w:pPr>
      <w:r>
        <w:rPr>
          <w:b/>
          <w:color w:val="2563EB"/>
          <w:sz w:val="26"/>
        </w:rPr>
        <w:t>Capability Taxonomy Reconciliation</w:t>
      </w:r>
    </w:p>
    <w:p>
      <w:pPr>
        <w:spacing w:after="80"/>
      </w:pPr>
      <w:r>
        <w:rPr>
          <w:sz w:val="20"/>
        </w:rPr>
        <w:t>The AI-generated capability hierarchy used consistent naming across all 42 products. Where prior documentation used 7 names for the same concept (e.g., "Customer Identity Verification", "KYC Check", "Identity Validation Service", "CIV Module", "KYC/AML Verification", "Customer Verification", "Onboarding Identity Check"), the agent consolidated to a single canonical name with all aliases recorded.</w:t>
      </w:r>
    </w:p>
    <w:p>
      <w:pPr>
        <w:spacing w:after="80"/>
      </w:pPr>
      <w:r>
        <w:rPr>
          <w:sz w:val="20"/>
        </w:rPr>
        <w:t>Analysts reviewed and accepted 94% of suggestions. The remaining 6% were manually corrected using the timing override interface, with correction notes recorded in the audit trail.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E3A8A"/>
          <w:sz w:val="32"/>
        </w:rPr>
        <w:t>Phase 2: VSM Analysis with Code Signals &amp; Jira Integration (Days 7–13)</w:t>
      </w:r>
    </w:p>
    <w:p>
      <w:pPr>
        <w:spacing w:before="200" w:after="60"/>
      </w:pPr>
      <w:r>
        <w:rPr>
          <w:b/>
          <w:color w:val="2563EB"/>
          <w:sz w:val="26"/>
        </w:rPr>
        <w:t>Running Lean VSM Across the Portfolio</w:t>
      </w:r>
    </w:p>
    <w:p>
      <w:pPr>
        <w:spacing w:after="80"/>
      </w:pPr>
      <w:r>
        <w:rPr>
          <w:sz w:val="20"/>
        </w:rPr>
        <w:t>Lean VSM agent runs were completed for all 42 products. Each run integrated three evidence sources:</w:t>
      </w:r>
    </w:p>
    <w:p>
      <w:pPr>
        <w:pStyle w:val="ListNumber"/>
        <w:ind w:left="432"/>
      </w:pPr>
      <w:r>
        <w:rPr>
          <w:sz w:val="20"/>
        </w:rPr>
      </w:r>
      <w:r>
        <w:rPr>
          <w:b/>
          <w:sz w:val="20"/>
        </w:rPr>
        <w:t>Jira cycle times</w:t>
      </w:r>
      <w:r>
        <w:rPr>
          <w:sz w:val="20"/>
        </w:rPr>
        <w:t xml:space="preserve"> (pre-computed in Phase 1 setup)</w:t>
      </w:r>
    </w:p>
    <w:p>
      <w:pPr>
        <w:pStyle w:val="ListNumber"/>
        <w:ind w:left="432"/>
      </w:pPr>
      <w:r>
        <w:rPr>
          <w:sz w:val="20"/>
        </w:rPr>
      </w:r>
      <w:r>
        <w:rPr>
          <w:b/>
          <w:sz w:val="20"/>
        </w:rPr>
        <w:t>Code signals</w:t>
      </w:r>
      <w:r>
        <w:rPr>
          <w:sz w:val="20"/>
        </w:rPr>
        <w:t xml:space="preserve"> extracted from uploaded architecture documents (timeout constants, SLA annotations, </w:t>
      </w:r>
      <w:r>
        <w:rPr>
          <w:rFonts w:ascii="Courier New" w:hAnsi="Courier New"/>
          <w:color w:val="1D4ED8"/>
          <w:sz w:val="18"/>
        </w:rPr>
        <w:t>@Scheduled</w:t>
      </w:r>
      <w:r>
        <w:rPr>
          <w:sz w:val="20"/>
        </w:rPr>
        <w:t xml:space="preserve"> cron expressions, OpenAPI </w:t>
      </w:r>
      <w:r>
        <w:rPr>
          <w:rFonts w:ascii="Courier New" w:hAnsi="Courier New"/>
          <w:color w:val="1D4ED8"/>
          <w:sz w:val="18"/>
        </w:rPr>
        <w:t>x-sla-ms</w:t>
      </w:r>
      <w:r>
        <w:rPr>
          <w:sz w:val="20"/>
        </w:rPr>
        <w:t xml:space="preserve"> annotations)</w:t>
      </w:r>
    </w:p>
    <w:p>
      <w:pPr>
        <w:pStyle w:val="ListNumber"/>
        <w:ind w:left="432"/>
      </w:pPr>
      <w:r>
        <w:rPr>
          <w:sz w:val="20"/>
        </w:rPr>
      </w:r>
      <w:r>
        <w:rPr>
          <w:b/>
          <w:sz w:val="20"/>
        </w:rPr>
        <w:t>Benchmark documents</w:t>
      </w:r>
      <w:r>
        <w:rPr>
          <w:sz w:val="20"/>
        </w:rPr>
        <w:t xml:space="preserve"> from the knowledge base (VSM_BENCHMARKS category)</w:t>
      </w:r>
    </w:p>
    <w:p>
      <w:pPr>
        <w:spacing w:before="200" w:after="60"/>
      </w:pPr>
      <w:r>
        <w:rPr>
          <w:b/>
          <w:color w:val="2563EB"/>
          <w:sz w:val="26"/>
        </w:rPr>
        <w:t>Key VSM Findings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Portfolio flow efficiency distribution: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Segment</w:t>
            </w:r>
          </w:p>
        </w:tc>
        <w:tc>
          <w:tcPr>
            <w:tcW w:type="dxa" w:w="2196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Avg Flow Efficiency</w:t>
            </w:r>
          </w:p>
        </w:tc>
        <w:tc>
          <w:tcPr>
            <w:tcW w:type="dxa" w:w="2196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Industry p50</w:t>
            </w:r>
          </w:p>
        </w:tc>
        <w:tc>
          <w:tcPr>
            <w:tcW w:type="dxa" w:w="2196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Gap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Consumer Digital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21.4%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23.4%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-2.0pp</w:t>
            </w:r>
          </w:p>
        </w:tc>
      </w:tr>
      <w:tr>
        <w:tc>
          <w:tcPr>
            <w:tcW w:type="dxa" w:w="2196"/>
            <w:shd w:val="clear" w:color="auto" w:fill="EFF6FF"/>
          </w:tcPr>
          <w:p>
            <w:r>
              <w:rPr>
                <w:sz w:val="18"/>
              </w:rPr>
              <w:t>SME Lending</w:t>
            </w:r>
          </w:p>
        </w:tc>
        <w:tc>
          <w:tcPr>
            <w:tcW w:type="dxa" w:w="2196"/>
            <w:shd w:val="clear" w:color="auto" w:fill="EFF6FF"/>
          </w:tcPr>
          <w:p>
            <w:r>
              <w:rPr>
                <w:sz w:val="18"/>
              </w:rPr>
              <w:t>14.7%</w:t>
            </w:r>
          </w:p>
        </w:tc>
        <w:tc>
          <w:tcPr>
            <w:tcW w:type="dxa" w:w="2196"/>
            <w:shd w:val="clear" w:color="auto" w:fill="EFF6FF"/>
          </w:tcPr>
          <w:p>
            <w:r>
              <w:rPr>
                <w:sz w:val="18"/>
              </w:rPr>
              <w:t>23.4%</w:t>
            </w:r>
          </w:p>
        </w:tc>
        <w:tc>
          <w:tcPr>
            <w:tcW w:type="dxa" w:w="2196"/>
            <w:shd w:val="clear" w:color="auto" w:fill="EFF6FF"/>
          </w:tcPr>
          <w:p>
            <w:r>
              <w:rPr>
                <w:sz w:val="18"/>
              </w:rPr>
              <w:t>-8.7pp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Wealth Management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16.9%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19.1%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-2.2pp</w:t>
            </w:r>
          </w:p>
        </w:tc>
      </w:tr>
      <w:tr>
        <w:tc>
          <w:tcPr>
            <w:tcW w:type="dxa" w:w="2196"/>
            <w:shd w:val="clear" w:color="auto" w:fill="EFF6FF"/>
          </w:tcPr>
          <w:p>
            <w:r>
              <w:rPr>
                <w:sz w:val="18"/>
              </w:rPr>
              <w:t>Corporate Treasury</w:t>
            </w:r>
          </w:p>
        </w:tc>
        <w:tc>
          <w:tcPr>
            <w:tcW w:type="dxa" w:w="2196"/>
            <w:shd w:val="clear" w:color="auto" w:fill="EFF6FF"/>
          </w:tcPr>
          <w:p>
            <w:r>
              <w:rPr>
                <w:sz w:val="18"/>
              </w:rPr>
              <w:t>22.1%</w:t>
            </w:r>
          </w:p>
        </w:tc>
        <w:tc>
          <w:tcPr>
            <w:tcW w:type="dxa" w:w="2196"/>
            <w:shd w:val="clear" w:color="auto" w:fill="EFF6FF"/>
          </w:tcPr>
          <w:p>
            <w:r>
              <w:rPr>
                <w:sz w:val="18"/>
              </w:rPr>
              <w:t>21.8%</w:t>
            </w:r>
          </w:p>
        </w:tc>
        <w:tc>
          <w:tcPr>
            <w:tcW w:type="dxa" w:w="2196"/>
            <w:shd w:val="clear" w:color="auto" w:fill="EFF6FF"/>
          </w:tcPr>
          <w:p>
            <w:r>
              <w:rPr>
                <w:sz w:val="18"/>
              </w:rPr>
              <w:t>+0.3pp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Portfolio Average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18.3%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23.4%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-5.1pp</w:t>
            </w:r>
          </w:p>
        </w:tc>
      </w:tr>
    </w:tbl>
    <w:p/>
    <w:p>
      <w:pPr>
        <w:spacing w:after="80"/>
      </w:pPr>
      <w:r>
        <w:rPr>
          <w:sz w:val="20"/>
        </w:rPr>
      </w:r>
      <w:r>
        <w:rPr>
          <w:b/>
          <w:sz w:val="20"/>
        </w:rPr>
        <w:t>Timing provenance breakdown across 1,204 value stream steps: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928"/>
        <w:gridCol w:w="2928"/>
        <w:gridCol w:w="2928"/>
      </w:tblGrid>
      <w:tr>
        <w:tc>
          <w:tcPr>
            <w:tcW w:type="dxa" w:w="2928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Timing Source</w:t>
            </w:r>
          </w:p>
        </w:tc>
        <w:tc>
          <w:tcPr>
            <w:tcW w:type="dxa" w:w="2928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Steps</w:t>
            </w:r>
          </w:p>
        </w:tc>
        <w:tc>
          <w:tcPr>
            <w:tcW w:type="dxa" w:w="2928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% of Total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jira_measured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847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70.3%</w:t>
            </w:r>
          </w:p>
        </w:tc>
      </w:tr>
      <w:tr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code_signals</w:t>
            </w:r>
          </w:p>
        </w:tc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218</w:t>
            </w:r>
          </w:p>
        </w:tc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18.1%</w:t>
            </w:r>
          </w:p>
        </w:tc>
      </w:tr>
      <w:tr>
        <w:tc>
          <w:tcPr>
            <w:tcW w:type="dxa" w:w="2928"/>
          </w:tcPr>
          <w:p>
            <w:r>
              <w:rPr>
                <w:sz w:val="18"/>
              </w:rPr>
              <w:t>llm_estimated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121</w:t>
            </w:r>
          </w:p>
        </w:tc>
        <w:tc>
          <w:tcPr>
            <w:tcW w:type="dxa" w:w="2928"/>
          </w:tcPr>
          <w:p>
            <w:r>
              <w:rPr>
                <w:sz w:val="18"/>
              </w:rPr>
              <w:t>10.1%</w:t>
            </w:r>
          </w:p>
        </w:tc>
      </w:tr>
      <w:tr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manual_override</w:t>
            </w:r>
          </w:p>
        </w:tc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928"/>
            <w:shd w:val="clear" w:color="auto" w:fill="EFF6FF"/>
          </w:tcPr>
          <w:p>
            <w:r>
              <w:rPr>
                <w:sz w:val="18"/>
              </w:rPr>
              <w:t>1.5%</w:t>
            </w:r>
          </w:p>
        </w:tc>
      </w:tr>
    </w:tbl>
    <w:p/>
    <w:p>
      <w:pPr>
        <w:spacing w:after="80"/>
      </w:pPr>
      <w:r>
        <w:rPr>
          <w:sz w:val="20"/>
        </w:rPr>
      </w:r>
      <w:r>
        <w:rPr>
          <w:b/>
          <w:sz w:val="20"/>
        </w:rPr>
        <w:t>Critical bottlenecks identified (flow_efficiency &lt; 10%):</w:t>
      </w:r>
      <w:r>
        <w:rPr>
          <w:sz w:val="20"/>
        </w:rPr>
      </w:r>
    </w:p>
    <w:p>
      <w:pPr>
        <w:spacing w:after="80"/>
      </w:pPr>
      <w:r>
        <w:rPr>
          <w:sz w:val="20"/>
        </w:rPr>
        <w:t>61 steps across 23 products had flow efficiency below 10%, indicating severe wait-time accumulation. Of these: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14 were previously unknown</w:t>
      </w:r>
      <w:r>
        <w:rPr>
          <w:sz w:val="20"/>
        </w:rPr>
        <w:t xml:space="preserve"> — not on any prior transformation radar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22 were known but underestimated</w:t>
      </w:r>
      <w:r>
        <w:rPr>
          <w:sz w:val="20"/>
        </w:rPr>
        <w:t xml:space="preserve"> — manual assessments had underestimated wait times by an average of 340%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25 were known and consistent</w:t>
      </w:r>
      <w:r>
        <w:rPr>
          <w:sz w:val="20"/>
        </w:rPr>
        <w:t xml:space="preserve"> with prior manual assessments</w:t>
      </w:r>
    </w:p>
    <w:p>
      <w:pPr>
        <w:spacing w:after="80"/>
      </w:pPr>
      <w:r>
        <w:rPr>
          <w:sz w:val="20"/>
        </w:rPr>
        <w:t>The three most severe bottlenecks: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64"/>
        <w:gridCol w:w="1464"/>
        <w:gridCol w:w="1464"/>
        <w:gridCol w:w="1464"/>
        <w:gridCol w:w="1464"/>
        <w:gridCol w:w="1464"/>
      </w:tblGrid>
      <w:tr>
        <w:tc>
          <w:tcPr>
            <w:tcW w:type="dxa" w:w="1464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Step</w:t>
            </w:r>
          </w:p>
        </w:tc>
        <w:tc>
          <w:tcPr>
            <w:tcW w:type="dxa" w:w="1464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Product</w:t>
            </w:r>
          </w:p>
        </w:tc>
        <w:tc>
          <w:tcPr>
            <w:tcW w:type="dxa" w:w="1464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Process Time</w:t>
            </w:r>
          </w:p>
        </w:tc>
        <w:tc>
          <w:tcPr>
            <w:tcW w:type="dxa" w:w="1464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Wait Time</w:t>
            </w:r>
          </w:p>
        </w:tc>
        <w:tc>
          <w:tcPr>
            <w:tcW w:type="dxa" w:w="1464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Flow Efficiency</w:t>
            </w:r>
          </w:p>
        </w:tc>
        <w:tc>
          <w:tcPr>
            <w:tcW w:type="dxa" w:w="1464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Prior Status</w:t>
            </w:r>
          </w:p>
        </w:tc>
      </w:tr>
      <w:tr>
        <w:tc>
          <w:tcPr>
            <w:tcW w:type="dxa" w:w="1464"/>
          </w:tcPr>
          <w:p>
            <w:r>
              <w:rPr>
                <w:sz w:val="18"/>
              </w:rPr>
              <w:t>SME Loan Document Collection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SME Lending Platform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2.4h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94.7h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2.5%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Unknown</w:t>
            </w:r>
          </w:p>
        </w:tc>
      </w:tr>
      <w:tr>
        <w:tc>
          <w:tcPr>
            <w:tcW w:type="dxa" w:w="1464"/>
            <w:shd w:val="clear" w:color="auto" w:fill="EFF6FF"/>
          </w:tcPr>
          <w:p>
            <w:r>
              <w:rPr>
                <w:sz w:val="18"/>
              </w:rPr>
              <w:t>Wealth Adviser Approval Queue</w:t>
            </w:r>
          </w:p>
        </w:tc>
        <w:tc>
          <w:tcPr>
            <w:tcW w:type="dxa" w:w="1464"/>
            <w:shd w:val="clear" w:color="auto" w:fill="EFF6FF"/>
          </w:tcPr>
          <w:p>
            <w:r>
              <w:rPr>
                <w:sz w:val="18"/>
              </w:rPr>
              <w:t>Wealth Portal</w:t>
            </w:r>
          </w:p>
        </w:tc>
        <w:tc>
          <w:tcPr>
            <w:tcW w:type="dxa" w:w="1464"/>
            <w:shd w:val="clear" w:color="auto" w:fill="EFF6FF"/>
          </w:tcPr>
          <w:p>
            <w:r>
              <w:rPr>
                <w:sz w:val="18"/>
              </w:rPr>
              <w:t>1.1h</w:t>
            </w:r>
          </w:p>
        </w:tc>
        <w:tc>
          <w:tcPr>
            <w:tcW w:type="dxa" w:w="1464"/>
            <w:shd w:val="clear" w:color="auto" w:fill="EFF6FF"/>
          </w:tcPr>
          <w:p>
            <w:r>
              <w:rPr>
                <w:sz w:val="18"/>
              </w:rPr>
              <w:t>52.3h</w:t>
            </w:r>
          </w:p>
        </w:tc>
        <w:tc>
          <w:tcPr>
            <w:tcW w:type="dxa" w:w="1464"/>
            <w:shd w:val="clear" w:color="auto" w:fill="EFF6FF"/>
          </w:tcPr>
          <w:p>
            <w:r>
              <w:rPr>
                <w:sz w:val="18"/>
              </w:rPr>
              <w:t>2.1%</w:t>
            </w:r>
          </w:p>
        </w:tc>
        <w:tc>
          <w:tcPr>
            <w:tcW w:type="dxa" w:w="1464"/>
            <w:shd w:val="clear" w:color="auto" w:fill="EFF6FF"/>
          </w:tcPr>
          <w:p>
            <w:r>
              <w:rPr>
                <w:sz w:val="18"/>
              </w:rPr>
              <w:t>Underestimated</w:t>
            </w:r>
          </w:p>
        </w:tc>
      </w:tr>
      <w:tr>
        <w:tc>
          <w:tcPr>
            <w:tcW w:type="dxa" w:w="1464"/>
          </w:tcPr>
          <w:p>
            <w:r>
              <w:rPr>
                <w:sz w:val="18"/>
              </w:rPr>
              <w:t>KYC Manual Review Escalation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Customer Onboarding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3.2h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41.8h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7.1%</w:t>
            </w:r>
          </w:p>
        </w:tc>
        <w:tc>
          <w:tcPr>
            <w:tcW w:type="dxa" w:w="1464"/>
          </w:tcPr>
          <w:p>
            <w:r>
              <w:rPr>
                <w:sz w:val="18"/>
              </w:rPr>
              <w:t>Known</w:t>
            </w:r>
          </w:p>
        </w:tc>
      </w:tr>
    </w:tbl>
    <w:p/>
    <w:p>
      <w:pPr>
        <w:spacing w:after="80"/>
      </w:pPr>
      <w:r>
        <w:rPr>
          <w:sz w:val="20"/>
        </w:rPr>
        <w:t>The SME Loan Document Collection bottleneck — a 94.7-hour average wait time for customers to return document sets — had never appeared in any prior VSM exercise. The Jira data revealed it clearly: 847 SME loan applications showed a median 4.2-day customer document return gap, entirely unmeasured in prior manual workshops.</w:t>
      </w:r>
    </w:p>
    <w:p>
      <w:pPr>
        <w:spacing w:before="200" w:after="60"/>
      </w:pPr>
      <w:r>
        <w:rPr>
          <w:b/>
          <w:color w:val="2563EB"/>
          <w:sz w:val="26"/>
        </w:rPr>
        <w:t>Hallucination Detection in Action</w:t>
      </w:r>
    </w:p>
    <w:p>
      <w:pPr>
        <w:spacing w:after="80"/>
      </w:pPr>
      <w:r>
        <w:rPr>
          <w:sz w:val="20"/>
        </w:rPr>
        <w:t>The P4 hallucination detector flagged 23 steps during VSM analysis:</w:t>
      </w:r>
    </w:p>
    <w:p>
      <w:pPr>
        <w:pStyle w:val="ListBullet"/>
        <w:ind w:left="432"/>
      </w:pPr>
      <w:r>
        <w:rPr>
          <w:sz w:val="20"/>
        </w:rPr>
        <w:t xml:space="preserve">8 </w:t>
      </w:r>
      <w:r>
        <w:rPr>
          <w:rFonts w:ascii="Courier New" w:hAnsi="Courier New"/>
          <w:color w:val="1D4ED8"/>
          <w:sz w:val="18"/>
        </w:rPr>
        <w:t>critical</w:t>
      </w:r>
      <w:r>
        <w:rPr>
          <w:sz w:val="20"/>
        </w:rPr>
        <w:t xml:space="preserve"> flags (lead_time &lt; process_time + wait_time inconsistencies from LLM estimation)</w:t>
      </w:r>
    </w:p>
    <w:p>
      <w:pPr>
        <w:pStyle w:val="ListBullet"/>
        <w:ind w:left="432"/>
      </w:pPr>
      <w:r>
        <w:rPr>
          <w:sz w:val="20"/>
        </w:rPr>
        <w:t xml:space="preserve">12 </w:t>
      </w:r>
      <w:r>
        <w:rPr>
          <w:rFonts w:ascii="Courier New" w:hAnsi="Courier New"/>
          <w:color w:val="1D4ED8"/>
          <w:sz w:val="18"/>
        </w:rPr>
        <w:t>warning</w:t>
      </w:r>
      <w:r>
        <w:rPr>
          <w:sz w:val="20"/>
        </w:rPr>
        <w:t xml:space="preserve"> flags (suspiciously round numbers — 8.0h, 16.0h, 24.0h)</w:t>
      </w:r>
    </w:p>
    <w:p>
      <w:pPr>
        <w:pStyle w:val="ListBullet"/>
        <w:ind w:left="432"/>
      </w:pPr>
      <w:r>
        <w:rPr>
          <w:sz w:val="20"/>
        </w:rPr>
        <w:t xml:space="preserve">3 </w:t>
      </w:r>
      <w:r>
        <w:rPr>
          <w:rFonts w:ascii="Courier New" w:hAnsi="Courier New"/>
          <w:color w:val="1D4ED8"/>
          <w:sz w:val="18"/>
        </w:rPr>
        <w:t>info</w:t>
      </w:r>
      <w:r>
        <w:rPr>
          <w:sz w:val="20"/>
        </w:rPr>
        <w:t xml:space="preserve"> flags (placeholder-style step names)</w:t>
      </w:r>
    </w:p>
    <w:p>
      <w:pPr>
        <w:spacing w:after="80"/>
      </w:pPr>
      <w:r>
        <w:rPr>
          <w:sz w:val="20"/>
        </w:rPr>
        <w:t>Analysts resolved all 8 critical flags by applying manual overrides with Jira-sourced data. The net effect: zero impossible values persisted to the final baseline.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E3A8A"/>
          <w:sz w:val="32"/>
        </w:rPr>
        <w:t>Phase 3: Future State Vision &amp; Roadmap (Days 12–17)</w:t>
      </w:r>
    </w:p>
    <w:p>
      <w:pPr>
        <w:spacing w:before="200" w:after="60"/>
      </w:pPr>
      <w:r>
        <w:rPr>
          <w:b/>
          <w:color w:val="2563EB"/>
          <w:sz w:val="26"/>
        </w:rPr>
        <w:t>AI-Native Future State Generation</w:t>
      </w:r>
    </w:p>
    <w:p>
      <w:pPr>
        <w:spacing w:after="80"/>
      </w:pPr>
      <w:r>
        <w:rPr>
          <w:sz w:val="20"/>
        </w:rPr>
        <w:t>The Future State Vision agent ran across all four segments, grounded by:</w:t>
      </w:r>
    </w:p>
    <w:p>
      <w:pPr>
        <w:pStyle w:val="ListBullet"/>
        <w:ind w:left="432"/>
      </w:pPr>
      <w:r>
        <w:rPr>
          <w:sz w:val="20"/>
        </w:rPr>
        <w:t>19 uploaded transformation case studies (banking, fintech)</w:t>
      </w:r>
    </w:p>
    <w:p>
      <w:pPr>
        <w:pStyle w:val="ListBullet"/>
        <w:ind w:left="432"/>
      </w:pPr>
      <w:r>
        <w:rPr>
          <w:sz w:val="20"/>
        </w:rPr>
        <w:t>28 VSM benchmark documents</w:t>
      </w:r>
    </w:p>
    <w:p>
      <w:pPr>
        <w:pStyle w:val="ListBullet"/>
        <w:ind w:left="432"/>
      </w:pPr>
      <w:r>
        <w:rPr>
          <w:sz w:val="20"/>
        </w:rPr>
        <w:t>The just-completed current-state VSM data (auto-saved as AGENT_OUTPUT context)</w:t>
      </w:r>
    </w:p>
    <w:p>
      <w:pPr>
        <w:spacing w:after="80"/>
      </w:pPr>
      <w:r>
        <w:rPr>
          <w:sz w:val="20"/>
        </w:rPr>
        <w:t>For each capability, the agent projected three scenarios: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Example: SME Lending Platform — Loan Processing Capability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type="dxa" w:w="1757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Current State</w:t>
            </w:r>
          </w:p>
        </w:tc>
        <w:tc>
          <w:tcPr>
            <w:tcW w:type="dxa" w:w="1757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Conservative</w:t>
            </w:r>
          </w:p>
        </w:tc>
        <w:tc>
          <w:tcPr>
            <w:tcW w:type="dxa" w:w="1757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Expected</w:t>
            </w:r>
          </w:p>
        </w:tc>
        <w:tc>
          <w:tcPr>
            <w:tcW w:type="dxa" w:w="1757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Optimistic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Flow Efficiency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14.7%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28%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39%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52%</w:t>
            </w:r>
          </w:p>
        </w:tc>
      </w:tr>
      <w:tr>
        <w:tc>
          <w:tcPr>
            <w:tcW w:type="dxa" w:w="1757"/>
            <w:shd w:val="clear" w:color="auto" w:fill="EFF6FF"/>
          </w:tcPr>
          <w:p>
            <w:r>
              <w:rPr>
                <w:sz w:val="18"/>
              </w:rPr>
              <w:t>Lead Time (days)</w:t>
            </w:r>
          </w:p>
        </w:tc>
        <w:tc>
          <w:tcPr>
            <w:tcW w:type="dxa" w:w="1757"/>
            <w:shd w:val="clear" w:color="auto" w:fill="EFF6FF"/>
          </w:tcPr>
          <w:p>
            <w:r>
              <w:rPr>
                <w:sz w:val="18"/>
              </w:rPr>
              <w:t>12.4</w:t>
            </w:r>
          </w:p>
        </w:tc>
        <w:tc>
          <w:tcPr>
            <w:tcW w:type="dxa" w:w="1757"/>
            <w:shd w:val="clear" w:color="auto" w:fill="EFF6FF"/>
          </w:tcPr>
          <w:p>
            <w:r>
              <w:rPr>
                <w:sz w:val="18"/>
              </w:rPr>
              <w:t>7.1</w:t>
            </w:r>
          </w:p>
        </w:tc>
        <w:tc>
          <w:tcPr>
            <w:tcW w:type="dxa" w:w="1757"/>
            <w:shd w:val="clear" w:color="auto" w:fill="EFF6FF"/>
          </w:tcPr>
          <w:p>
            <w:r>
              <w:rPr>
                <w:sz w:val="18"/>
              </w:rPr>
              <w:t>4.8</w:t>
            </w:r>
          </w:p>
        </w:tc>
        <w:tc>
          <w:tcPr>
            <w:tcW w:type="dxa" w:w="1757"/>
            <w:shd w:val="clear" w:color="auto" w:fill="EFF6FF"/>
          </w:tcPr>
          <w:p>
            <w:r>
              <w:rPr>
                <w:sz w:val="18"/>
              </w:rPr>
              <w:t>3.2</w:t>
            </w:r>
          </w:p>
        </w:tc>
      </w:tr>
      <w:tr>
        <w:tc>
          <w:tcPr>
            <w:tcW w:type="dxa" w:w="1757"/>
          </w:tcPr>
          <w:p>
            <w:r>
              <w:rPr>
                <w:sz w:val="18"/>
              </w:rPr>
              <w:t>Process Time (hrs)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18.2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12.4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9.1</w:t>
            </w:r>
          </w:p>
        </w:tc>
        <w:tc>
          <w:tcPr>
            <w:tcW w:type="dxa" w:w="1757"/>
          </w:tcPr>
          <w:p>
            <w:r>
              <w:rPr>
                <w:sz w:val="18"/>
              </w:rPr>
              <w:t>7.3</w:t>
            </w:r>
          </w:p>
        </w:tc>
      </w:tr>
      <w:tr>
        <w:tc>
          <w:tcPr>
            <w:tcW w:type="dxa" w:w="1757"/>
            <w:shd w:val="clear" w:color="auto" w:fill="EFF6FF"/>
          </w:tcPr>
          <w:p>
            <w:r>
              <w:rPr>
                <w:sz w:val="18"/>
              </w:rPr>
              <w:t>Automation Coverage</w:t>
            </w:r>
          </w:p>
        </w:tc>
        <w:tc>
          <w:tcPr>
            <w:tcW w:type="dxa" w:w="1757"/>
            <w:shd w:val="clear" w:color="auto" w:fill="EFF6FF"/>
          </w:tcPr>
          <w:p>
            <w:r>
              <w:rPr>
                <w:sz w:val="18"/>
              </w:rPr>
              <w:t>12%</w:t>
            </w:r>
          </w:p>
        </w:tc>
        <w:tc>
          <w:tcPr>
            <w:tcW w:type="dxa" w:w="1757"/>
            <w:shd w:val="clear" w:color="auto" w:fill="EFF6FF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1757"/>
            <w:shd w:val="clear" w:color="auto" w:fill="EFF6FF"/>
          </w:tcPr>
          <w:p>
            <w:r>
              <w:rPr>
                <w:sz w:val="18"/>
              </w:rPr>
              <w:t>55%</w:t>
            </w:r>
          </w:p>
        </w:tc>
        <w:tc>
          <w:tcPr>
            <w:tcW w:type="dxa" w:w="1757"/>
            <w:shd w:val="clear" w:color="auto" w:fill="EFF6FF"/>
          </w:tcPr>
          <w:p>
            <w:r>
              <w:rPr>
                <w:sz w:val="18"/>
              </w:rPr>
              <w:t>72%</w:t>
            </w:r>
          </w:p>
        </w:tc>
      </w:tr>
    </w:tbl>
    <w:p/>
    <w:p>
      <w:pPr>
        <w:spacing w:after="80"/>
      </w:pPr>
      <w:r>
        <w:rPr>
          <w:sz w:val="20"/>
        </w:rPr>
        <w:t>The "Expected" scenario projections carried a "Benchmark-grounded" badge — they were calibrated against the p50 improvement trajectory from 11 comparable banking transformation case studies in the knowledge base.</w:t>
      </w:r>
    </w:p>
    <w:p>
      <w:pPr>
        <w:spacing w:before="200" w:after="60"/>
      </w:pPr>
      <w:r>
        <w:rPr>
          <w:b/>
          <w:color w:val="2563EB"/>
          <w:sz w:val="26"/>
        </w:rPr>
        <w:t>Investment Prioritisation Shock</w:t>
      </w:r>
    </w:p>
    <w:p>
      <w:pPr>
        <w:spacing w:after="80"/>
      </w:pPr>
      <w:r>
        <w:rPr>
          <w:sz w:val="20"/>
        </w:rPr>
        <w:t>The benchmark-grounded analysis produced a significant reallocation finding:</w:t>
      </w:r>
    </w:p>
    <w:p>
      <w:pPr>
        <w:spacing w:after="80"/>
      </w:pPr>
      <w:r>
        <w:rPr>
          <w:sz w:val="20"/>
        </w:rPr>
        <w:t xml:space="preserve">The $12M payment processing automation (the largest proposed investment) targeted a capability already operating at </w:t>
      </w:r>
      <w:r>
        <w:rPr>
          <w:b/>
          <w:sz w:val="20"/>
        </w:rPr>
        <w:t>flow efficiency of 22.1% vs industry p50 of 21.8%</w:t>
      </w:r>
      <w:r>
        <w:rPr>
          <w:sz w:val="20"/>
        </w:rPr>
        <w:t xml:space="preserve"> — i.e., NPB was already at market parity. The Jira data showed the bottleneck was not in processing but in downstream settlement reconciliation, which was not in scope.</w:t>
      </w:r>
    </w:p>
    <w:p>
      <w:pPr>
        <w:spacing w:after="80"/>
      </w:pPr>
      <w:r>
        <w:rPr>
          <w:sz w:val="20"/>
        </w:rPr>
        <w:t xml:space="preserve">Conversely, the SME Document Collection bottleneck (2.5% flow efficiency; $0 previously allocated) was identified as having a </w:t>
      </w:r>
      <w:r>
        <w:rPr>
          <w:b/>
          <w:sz w:val="20"/>
        </w:rPr>
        <w:t>projected 6.2× ROI</w:t>
      </w:r>
      <w:r>
        <w:rPr>
          <w:sz w:val="20"/>
        </w:rPr>
        <w:t xml:space="preserve"> from a targeted digital document portal — a $2.1M investment with projected $13M+ in operational savings from loan processing acceleration.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Investment reallocation outcome:</w:t>
      </w:r>
      <w:r>
        <w:rPr>
          <w:sz w:val="2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96"/>
        <w:gridCol w:w="2196"/>
        <w:gridCol w:w="2196"/>
        <w:gridCol w:w="2196"/>
      </w:tblGrid>
      <w:tr>
        <w:tc>
          <w:tcPr>
            <w:tcW w:type="dxa" w:w="2196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Initiative</w:t>
            </w:r>
          </w:p>
        </w:tc>
        <w:tc>
          <w:tcPr>
            <w:tcW w:type="dxa" w:w="2196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Prior Budget</w:t>
            </w:r>
          </w:p>
        </w:tc>
        <w:tc>
          <w:tcPr>
            <w:tcW w:type="dxa" w:w="2196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Revised Budget</w:t>
            </w:r>
          </w:p>
        </w:tc>
        <w:tc>
          <w:tcPr>
            <w:tcW w:type="dxa" w:w="2196"/>
            <w:shd w:val="clear" w:color="auto" w:fill="1E3A8A"/>
          </w:tcPr>
          <w:p>
            <w:r/>
            <w:r>
              <w:rPr>
                <w:b/>
                <w:color w:val="FFFFFF"/>
                <w:sz w:val="18"/>
              </w:rPr>
              <w:t>Evidence Basis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Payment Processing Automation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$12.0M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$3.6M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At industry parity; reduce scope</w:t>
            </w:r>
          </w:p>
        </w:tc>
      </w:tr>
      <w:tr>
        <w:tc>
          <w:tcPr>
            <w:tcW w:type="dxa" w:w="2196"/>
            <w:shd w:val="clear" w:color="auto" w:fill="EFF6FF"/>
          </w:tcPr>
          <w:p>
            <w:r>
              <w:rPr>
                <w:sz w:val="18"/>
              </w:rPr>
              <w:t>KYC Manual Review AI</w:t>
            </w:r>
          </w:p>
        </w:tc>
        <w:tc>
          <w:tcPr>
            <w:tcW w:type="dxa" w:w="2196"/>
            <w:shd w:val="clear" w:color="auto" w:fill="EFF6FF"/>
          </w:tcPr>
          <w:p>
            <w:r>
              <w:rPr>
                <w:sz w:val="18"/>
              </w:rPr>
              <w:t>$9.0M</w:t>
            </w:r>
          </w:p>
        </w:tc>
        <w:tc>
          <w:tcPr>
            <w:tcW w:type="dxa" w:w="2196"/>
            <w:shd w:val="clear" w:color="auto" w:fill="EFF6FF"/>
          </w:tcPr>
          <w:p>
            <w:r>
              <w:rPr>
                <w:sz w:val="18"/>
              </w:rPr>
              <w:t>$11.2M</w:t>
            </w:r>
          </w:p>
        </w:tc>
        <w:tc>
          <w:tcPr>
            <w:tcW w:type="dxa" w:w="2196"/>
            <w:shd w:val="clear" w:color="auto" w:fill="EFF6FF"/>
          </w:tcPr>
          <w:p>
            <w:r>
              <w:rPr>
                <w:sz w:val="18"/>
              </w:rPr>
              <w:t>Critical bottleneck; expanded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Document Processing AI Layer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$7.0M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$2.1M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Reallocated to SME Document Portal</w:t>
            </w:r>
          </w:p>
        </w:tc>
      </w:tr>
      <w:tr>
        <w:tc>
          <w:tcPr>
            <w:tcW w:type="dxa" w:w="2196"/>
            <w:shd w:val="clear" w:color="auto" w:fill="EFF6FF"/>
          </w:tcPr>
          <w:p>
            <w:r>
              <w:rPr>
                <w:sz w:val="18"/>
              </w:rPr>
              <w:t>SME Document Portal (new)</w:t>
            </w:r>
          </w:p>
        </w:tc>
        <w:tc>
          <w:tcPr>
            <w:tcW w:type="dxa" w:w="2196"/>
            <w:shd w:val="clear" w:color="auto" w:fill="EFF6FF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196"/>
            <w:shd w:val="clear" w:color="auto" w:fill="EFF6FF"/>
          </w:tcPr>
          <w:p>
            <w:r>
              <w:rPr>
                <w:sz w:val="18"/>
              </w:rPr>
              <w:t>$8.4M</w:t>
            </w:r>
          </w:p>
        </w:tc>
        <w:tc>
          <w:tcPr>
            <w:tcW w:type="dxa" w:w="2196"/>
            <w:shd w:val="clear" w:color="auto" w:fill="EFF6FF"/>
          </w:tcPr>
          <w:p>
            <w:r>
              <w:rPr>
                <w:sz w:val="18"/>
              </w:rPr>
              <w:t>2.5% flow eff; 6.2× ROI</w:t>
            </w:r>
          </w:p>
        </w:tc>
      </w:tr>
      <w:tr>
        <w:tc>
          <w:tcPr>
            <w:tcW w:type="dxa" w:w="2196"/>
          </w:tcPr>
          <w:p>
            <w:r>
              <w:rPr>
                <w:sz w:val="18"/>
              </w:rPr>
              <w:t>Wealth Adviser Routing AI (new)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$0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$4.7M</w:t>
            </w:r>
          </w:p>
        </w:tc>
        <w:tc>
          <w:tcPr>
            <w:tcW w:type="dxa" w:w="2196"/>
          </w:tcPr>
          <w:p>
            <w:r>
              <w:rPr>
                <w:sz w:val="18"/>
              </w:rPr>
              <w:t>2.1% flow eff; new discovery</w:t>
            </w:r>
          </w:p>
        </w:tc>
      </w:tr>
      <w:tr>
        <w:tc>
          <w:tcPr>
            <w:tcW w:type="dxa" w:w="2196"/>
            <w:shd w:val="clear" w:color="auto" w:fill="EFF6FF"/>
          </w:tcPr>
          <w:p>
            <w:r>
              <w:rPr>
                <w:sz w:val="18"/>
              </w:rPr>
              <w:t>Total</w:t>
            </w:r>
          </w:p>
        </w:tc>
        <w:tc>
          <w:tcPr>
            <w:tcW w:type="dxa" w:w="2196"/>
            <w:shd w:val="clear" w:color="auto" w:fill="EFF6FF"/>
          </w:tcPr>
          <w:p>
            <w:r>
              <w:rPr>
                <w:sz w:val="18"/>
              </w:rPr>
              <w:t>$38.0M</w:t>
            </w:r>
          </w:p>
        </w:tc>
        <w:tc>
          <w:tcPr>
            <w:tcW w:type="dxa" w:w="2196"/>
            <w:shd w:val="clear" w:color="auto" w:fill="EFF6FF"/>
          </w:tcPr>
          <w:p>
            <w:r>
              <w:rPr>
                <w:sz w:val="18"/>
              </w:rPr>
              <w:t>$38.0M</w:t>
            </w:r>
          </w:p>
        </w:tc>
        <w:tc>
          <w:tcPr>
            <w:tcW w:type="dxa" w:w="2196"/>
            <w:shd w:val="clear" w:color="auto" w:fill="EFF6FF"/>
          </w:tcPr>
          <w:p>
            <w:r>
              <w:rPr>
                <w:sz w:val="18"/>
              </w:rPr>
            </w:r>
          </w:p>
        </w:tc>
      </w:tr>
    </w:tbl>
    <w:p/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E3A8A"/>
          <w:sz w:val="32"/>
        </w:rPr>
        <w:t>Results</w:t>
      </w:r>
    </w:p>
    <w:p>
      <w:pPr>
        <w:spacing w:before="200" w:after="60"/>
      </w:pPr>
      <w:r>
        <w:rPr>
          <w:b/>
          <w:color w:val="2563EB"/>
          <w:sz w:val="26"/>
        </w:rPr>
        <w:t>Speed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17 days</w:t>
      </w:r>
      <w:r>
        <w:rPr>
          <w:sz w:val="20"/>
        </w:rPr>
        <w:t xml:space="preserve"> from platform provisioning to board-ready baseline (vs 26–42 weeks manual estimate)</w:t>
      </w:r>
    </w:p>
    <w:p>
      <w:pPr>
        <w:pStyle w:val="ListBullet"/>
        <w:ind w:left="432"/>
      </w:pPr>
      <w:r>
        <w:rPr>
          <w:sz w:val="20"/>
        </w:rPr>
        <w:t>$2.8M in consulting fees avoided</w:t>
      </w:r>
    </w:p>
    <w:p>
      <w:pPr>
        <w:pStyle w:val="ListBullet"/>
        <w:ind w:left="432"/>
      </w:pPr>
      <w:r>
        <w:rPr>
          <w:sz w:val="20"/>
        </w:rPr>
        <w:t>DTO team of 12 analysts managed the entire programme vs the 60+ stakeholder-weeks required for manual workshops</w:t>
      </w:r>
    </w:p>
    <w:p>
      <w:pPr>
        <w:spacing w:before="200" w:after="60"/>
      </w:pPr>
      <w:r>
        <w:rPr>
          <w:b/>
          <w:color w:val="2563EB"/>
          <w:sz w:val="26"/>
        </w:rPr>
        <w:t>Accuracy &amp; Coverage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100% portfolio coverage</w:t>
      </w:r>
      <w:r>
        <w:rPr>
          <w:sz w:val="20"/>
        </w:rPr>
        <w:t xml:space="preserve"> (42/42 products) — vs 8% completion after 6 months of manual workshops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70.3% of VSM timings anchored to Jira-measured data</w:t>
      </w:r>
      <w:r>
        <w:rPr>
          <w:sz w:val="20"/>
        </w:rPr>
        <w:t xml:space="preserve"> — not consultant estimates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14 previously-unknown bottlenecks</w:t>
      </w:r>
      <w:r>
        <w:rPr>
          <w:sz w:val="20"/>
        </w:rPr>
        <w:t xml:space="preserve"> discovered, including the highest-ROI investment opportunity in the portfolio</w:t>
      </w:r>
    </w:p>
    <w:p>
      <w:pPr>
        <w:spacing w:before="200" w:after="60"/>
      </w:pPr>
      <w:r>
        <w:rPr>
          <w:b/>
          <w:color w:val="2563EB"/>
          <w:sz w:val="26"/>
        </w:rPr>
        <w:t>Decision Quality</w:t>
      </w:r>
    </w:p>
    <w:p>
      <w:pPr>
        <w:pStyle w:val="ListBullet"/>
        <w:ind w:left="432"/>
      </w:pPr>
      <w:r>
        <w:rPr>
          <w:sz w:val="20"/>
        </w:rPr>
        <w:t>$8.4M reallocated from at-parity investments to critical bottleneck interventions</w:t>
      </w:r>
    </w:p>
    <w:p>
      <w:pPr>
        <w:pStyle w:val="ListBullet"/>
        <w:ind w:left="432"/>
      </w:pPr>
      <w:r>
        <w:rPr>
          <w:sz w:val="20"/>
        </w:rPr>
        <w:t>Board investment case approved in first review (previously required 3 iterations over 4 months)</w:t>
      </w:r>
    </w:p>
    <w:p>
      <w:pPr>
        <w:pStyle w:val="ListBullet"/>
        <w:ind w:left="432"/>
      </w:pPr>
      <w:r>
        <w:rPr>
          <w:sz w:val="20"/>
        </w:rPr>
        <w:t>Audit trail provided CFO with full traceability from Jira data → VSM timing → investment rationale</w:t>
      </w:r>
    </w:p>
    <w:p>
      <w:pPr>
        <w:spacing w:before="200" w:after="60"/>
      </w:pPr>
      <w:r>
        <w:rPr>
          <w:b/>
          <w:color w:val="2563EB"/>
          <w:sz w:val="26"/>
        </w:rPr>
        <w:t>Compliance &amp; Security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Row-Level Security</w:t>
      </w:r>
      <w:r>
        <w:rPr>
          <w:sz w:val="20"/>
        </w:rPr>
        <w:t xml:space="preserve"> ensured Wealth Management data was inaccessible to Consumer Banking analysts throughout — critical for APRA privacy requirements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Full audit log</w:t>
      </w:r>
      <w:r>
        <w:rPr>
          <w:sz w:val="20"/>
        </w:rPr>
        <w:t xml:space="preserve"> of all manual overrides with actor, timestamp, and justification notes — directly usable for APRA transformation governance submissions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SSO integration</w:t>
      </w:r>
      <w:r>
        <w:rPr>
          <w:sz w:val="20"/>
        </w:rPr>
        <w:t xml:space="preserve"> with Azure Entra ID meant zero new password management overhead for 8,400 employees</w:t>
      </w:r>
    </w:p>
    <w:p>
      <w:pPr>
        <w:pStyle w:val="ListBullet"/>
        <w:ind w:left="432"/>
      </w:pPr>
      <w:r>
        <w:rPr>
          <w:sz w:val="20"/>
        </w:rPr>
      </w:r>
      <w:r>
        <w:rPr>
          <w:b/>
          <w:sz w:val="20"/>
        </w:rPr>
        <w:t>Per-org API key</w:t>
      </w:r>
      <w:r>
        <w:rPr>
          <w:sz w:val="20"/>
        </w:rPr>
        <w:t xml:space="preserve"> ensured all Anthropic API calls billed to NPB's own account, with usage visible in their internal cost management tooling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E3A8A"/>
          <w:sz w:val="32"/>
        </w:rPr>
        <w:t>What's Next</w:t>
      </w:r>
    </w:p>
    <w:p>
      <w:pPr>
        <w:spacing w:after="80"/>
      </w:pPr>
      <w:r>
        <w:rPr>
          <w:sz w:val="20"/>
        </w:rPr>
        <w:t>NPB's DTO is now expanding TransformHub use across three additional programmes: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Phase 2: Process Mining Integration (Q1 2025)</w:t>
      </w:r>
      <w:r>
        <w:rPr>
          <w:sz w:val="20"/>
        </w:rPr>
      </w:r>
    </w:p>
    <w:p>
      <w:pPr>
        <w:spacing w:after="80"/>
      </w:pPr>
      <w:r>
        <w:rPr>
          <w:sz w:val="20"/>
        </w:rPr>
        <w:t>NPB's mortgage operations team has 4 years of transaction event log data from their loan origination system. The P4 process mining capability will ingest these logs to discover actual process flows — complementing Jira data with system-level evidence for the KYC and document collection workflows.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Phase 3: Continuous Monitoring (Q2 2025)</w:t>
      </w:r>
      <w:r>
        <w:rPr>
          <w:sz w:val="20"/>
        </w:rPr>
      </w:r>
    </w:p>
    <w:p>
      <w:pPr>
        <w:spacing w:after="80"/>
      </w:pPr>
      <w:r>
        <w:rPr>
          <w:sz w:val="20"/>
        </w:rPr>
        <w:t>Rather than annual snapshot baselines, NPB plans to run weekly VSM agent refreshes with live Jira cycle time extraction — creating a living transformation intelligence layer that tracks improvement progress in near-real-time.</w:t>
      </w:r>
    </w:p>
    <w:p>
      <w:pPr>
        <w:spacing w:after="80"/>
      </w:pPr>
      <w:r>
        <w:rPr>
          <w:sz w:val="20"/>
        </w:rPr>
      </w:r>
      <w:r>
        <w:rPr>
          <w:b/>
          <w:sz w:val="20"/>
        </w:rPr>
        <w:t>Phase 4: Cross-Product A/B Testing (Q3 2025)</w:t>
      </w:r>
      <w:r>
        <w:rPr>
          <w:sz w:val="20"/>
        </w:rPr>
      </w:r>
    </w:p>
    <w:p>
      <w:pPr>
        <w:spacing w:after="80"/>
      </w:pPr>
      <w:r>
        <w:rPr>
          <w:sz w:val="20"/>
        </w:rPr>
        <w:t>The P4 A/B testing framework will be used to run controlled experiments on transformation approaches: comparing outcomes from agent-prioritised vs manually-prioritised backlog ordering across matched product teams.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  <w:spacing w:before="280" w:after="80"/>
      </w:pPr>
      <w:r>
        <w:rPr>
          <w:b/>
          <w:color w:val="1E3A8A"/>
          <w:sz w:val="32"/>
        </w:rPr>
        <w:t>Client Perspective</w:t>
      </w:r>
    </w:p>
    <w:p>
      <w:pPr>
        <w:ind w:left="576"/>
      </w:pPr>
      <w:r>
        <w:rPr>
          <w:i/>
          <w:color w:val="2563EB"/>
          <w:sz w:val="20"/>
        </w:rPr>
        <w:t>*"We spent six months trying to build a baseline the traditional way and ended up with three inconsistent workshop outputs that couldn't even agree on what our capabilities were. TransformHub gave us a complete, consistent, data-grounded view of all 42 products in 17 days. More importantly, it found an $8.4 million investment opportunity that none of our architects had identified — because it was buried in Jira data that nobody had ever aggregated. That single finding paid for the platform many times over."*</w:t>
      </w:r>
    </w:p>
    <w:p>
      <w:pPr>
        <w:spacing w:after="80"/>
      </w:pPr>
      <w:r>
        <w:rPr>
          <w:sz w:val="20"/>
        </w:rPr>
        <w:t>&gt;</w:t>
      </w:r>
    </w:p>
    <w:p>
      <w:pPr>
        <w:ind w:left="576"/>
      </w:pPr>
      <w:r>
        <w:rPr>
          <w:i/>
          <w:color w:val="2563EB"/>
          <w:sz w:val="20"/>
        </w:rPr>
        <w:t>— **Sarah Chen**, Head of Platform Strategy, National Pacific Bank Digital Transformation Office</w:t>
      </w:r>
    </w:p>
    <w:p>
      <w:pPr>
        <w:ind w:left="576"/>
      </w:pPr>
      <w:r>
        <w:rPr>
          <w:i/>
          <w:color w:val="2563EB"/>
          <w:sz w:val="20"/>
        </w:rPr>
        <w:t>*"From a risk and compliance perspective, the audit trail was the deciding factor. Every number in our board submission traces back to a Jira ticket or an uploaded benchmark document. The APRA reviewer specifically commented on the quality of our investment evidence. That's not something we could have produced from workshop flip-charts."*</w:t>
      </w:r>
    </w:p>
    <w:p>
      <w:pPr>
        <w:spacing w:after="80"/>
      </w:pPr>
      <w:r>
        <w:rPr>
          <w:sz w:val="20"/>
        </w:rPr>
        <w:t>&gt;</w:t>
      </w:r>
    </w:p>
    <w:p>
      <w:pPr>
        <w:ind w:left="576"/>
      </w:pPr>
      <w:r>
        <w:rPr>
          <w:i/>
          <w:color w:val="2563EB"/>
          <w:sz w:val="20"/>
        </w:rPr>
        <w:t>— **James Okafor**, Chief Risk Officer (Digital), National Pacific Bank</w:t>
      </w:r>
    </w:p>
    <w:p>
      <w:pPr>
        <w:spacing w:before="120" w:after="120"/>
      </w:pPr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rPr>
          <w:sz w:val="20"/>
        </w:rPr>
        <w:t>*National Pacific Bank is a fictional composite organisation. All metrics represent illustrative scenarios grounded in realistic industry data.*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