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C1C3A"/>
          <w:sz w:val="44"/>
        </w:rPr>
        <w:t>TransformHub — P0 to P4 Enhancement Summary</w:t>
      </w:r>
    </w:p>
    <w:p>
      <w:pPr>
        <w:spacing w:after="240"/>
      </w:pPr>
      <w:r>
        <w:rPr>
          <w:color w:val="64748B"/>
          <w:sz w:val="22"/>
        </w:rPr>
        <w:t>Production Hardening &amp; Intelligence Quality Release  |  March 2026</w:t>
      </w:r>
    </w:p>
    <w:p>
      <w:pPr>
        <w:spacing w:after="240"/>
      </w:pPr>
      <w:r>
        <w:rPr>
          <w:sz w:val="20"/>
        </w:rPr>
        <w:t>This document summarises all 29 enhancements shipped across five production hardening phases (P0 through P4). Phases are cumulative — each builds on the previous. Together they transform TransformHub from a functional prototype into an enterprise-grade, SOC2-aligned, multi-tenant platform with full audit trails, hallucination detection, process mining, and Kubernetes-native deployment.</w:t>
      </w:r>
    </w:p>
    <w:p>
      <w:pPr>
        <w:pStyle w:val="Heading2"/>
        <w:spacing w:after="120"/>
      </w:pPr>
      <w:r>
        <w:rPr>
          <w:b/>
          <w:color w:val="1E3A8A"/>
          <w:sz w:val="28"/>
        </w:rPr>
        <w:t>Phase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0C1C3A"/>
          </w:tcPr>
          <w:p>
            <w:r/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268"/>
            <w:shd w:val="clear" w:color="auto" w:fill="0C1C3A"/>
          </w:tcPr>
          <w:p>
            <w:r/>
            <w:r>
              <w:rPr>
                <w:b/>
                <w:color w:val="FFFFFF"/>
                <w:sz w:val="18"/>
              </w:rPr>
              <w:t>Theme</w:t>
            </w:r>
          </w:p>
        </w:tc>
        <w:tc>
          <w:tcPr>
            <w:tcW w:type="dxa" w:w="2268"/>
            <w:shd w:val="clear" w:color="auto" w:fill="0C1C3A"/>
          </w:tcPr>
          <w:p>
            <w:r/>
            <w:r>
              <w:rPr>
                <w:b/>
                <w:color w:val="FFFFFF"/>
                <w:sz w:val="18"/>
              </w:rPr>
              <w:t>Items</w:t>
            </w:r>
          </w:p>
        </w:tc>
        <w:tc>
          <w:tcPr>
            <w:tcW w:type="dxa" w:w="2268"/>
            <w:shd w:val="clear" w:color="auto" w:fill="0C1C3A"/>
          </w:tcPr>
          <w:p>
            <w:r/>
            <w:r>
              <w:rPr>
                <w:b/>
                <w:color w:val="FFFFFF"/>
                <w:sz w:val="18"/>
              </w:rPr>
              <w:t>Key Capabilities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1E3A8A"/>
                <w:sz w:val="18"/>
              </w:rPr>
              <w:t>P0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Security &amp; Enterprise Foundation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Circuit breaker, SSO, RBAC, API keys, budget enforcement, rate limiting, prompt injection prevention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rPr>
                <w:b/>
                <w:color w:val="1E3A8A"/>
                <w:sz w:val="18"/>
              </w:rPr>
              <w:t>P1</w:t>
            </w:r>
          </w:p>
        </w:tc>
        <w:tc>
          <w:tcPr>
            <w:tcW w:type="dxa" w:w="2268"/>
            <w:shd w:val="clear" w:color="auto" w:fill="EFF6FF"/>
          </w:tcPr>
          <w:p>
            <w:r>
              <w:rPr>
                <w:sz w:val="18"/>
              </w:rPr>
              <w:t>Data Quality &amp; Auditability</w:t>
            </w:r>
          </w:p>
        </w:tc>
        <w:tc>
          <w:tcPr>
            <w:tcW w:type="dxa" w:w="2268"/>
            <w:shd w:val="clear" w:color="auto" w:fill="EFF6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268"/>
            <w:shd w:val="clear" w:color="auto" w:fill="EFF6FF"/>
          </w:tcPr>
          <w:p>
            <w:r>
              <w:rPr>
                <w:sz w:val="18"/>
              </w:rPr>
              <w:t>Code signal extraction, Jira cycle time, manual overrides, schema validation, timing provenance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1E3A8A"/>
                <w:sz w:val="18"/>
              </w:rPr>
              <w:t>P2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DevOps, Security &amp; Scale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CI/CD, Row-Level Security, HNSW index, cross-org benchmarks, memory pruning, budget reset cron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rPr>
                <w:b/>
                <w:color w:val="1E3A8A"/>
                <w:sz w:val="18"/>
              </w:rPr>
              <w:t>P3</w:t>
            </w:r>
          </w:p>
        </w:tc>
        <w:tc>
          <w:tcPr>
            <w:tcW w:type="dxa" w:w="2268"/>
            <w:shd w:val="clear" w:color="auto" w:fill="EFF6FF"/>
          </w:tcPr>
          <w:p>
            <w:r>
              <w:rPr>
                <w:sz w:val="18"/>
              </w:rPr>
              <w:t>Cost Optimisation &amp; Security</w:t>
            </w:r>
          </w:p>
        </w:tc>
        <w:tc>
          <w:tcPr>
            <w:tcW w:type="dxa" w:w="2268"/>
            <w:shd w:val="clear" w:color="auto" w:fill="EFF6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268"/>
            <w:shd w:val="clear" w:color="auto" w:fill="EFF6FF"/>
          </w:tcPr>
          <w:p>
            <w:r>
              <w:rPr>
                <w:sz w:val="18"/>
              </w:rPr>
              <w:t>Model tiering, per-org API keys, content filtering, input sanitization, circular dependency fix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1E3A8A"/>
                <w:sz w:val="18"/>
              </w:rPr>
              <w:t>P4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Intelligence Quality &amp; Operations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Hallucination detection, A/B testing, process mining, read replica, Kubernetes manifests</w:t>
            </w:r>
          </w:p>
        </w:tc>
      </w:tr>
    </w:tbl>
    <w:p/>
    <w:p>
      <w:pPr>
        <w:pStyle w:val="Heading2"/>
        <w:spacing w:before="280" w:after="120"/>
      </w:pPr>
      <w:r>
        <w:rPr>
          <w:b/>
          <w:color w:val="1E3A8A"/>
          <w:sz w:val="28"/>
        </w:rPr>
        <w:t>Detailed Enhancement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48"/>
            <w:shd w:val="clear" w:color="auto" w:fill="1E3A8A"/>
          </w:tcPr>
          <w:p>
            <w:r/>
            <w:r>
              <w:rPr>
                <w:b/>
                <w:color w:val="FFFFFF"/>
                <w:sz w:val="16"/>
              </w:rPr>
              <w:t>Phase</w:t>
            </w:r>
          </w:p>
        </w:tc>
        <w:tc>
          <w:tcPr>
            <w:tcW w:type="dxa" w:w="1440"/>
            <w:shd w:val="clear" w:color="auto" w:fill="1E3A8A"/>
          </w:tcPr>
          <w:p>
            <w:r/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1872"/>
            <w:shd w:val="clear" w:color="auto" w:fill="1E3A8A"/>
          </w:tcPr>
          <w:p>
            <w:r/>
            <w:r>
              <w:rPr>
                <w:b/>
                <w:color w:val="FFFFFF"/>
                <w:sz w:val="16"/>
              </w:rPr>
              <w:t>Enhancement</w:t>
            </w:r>
          </w:p>
        </w:tc>
        <w:tc>
          <w:tcPr>
            <w:tcW w:type="dxa" w:w="3888"/>
            <w:shd w:val="clear" w:color="auto" w:fill="1E3A8A"/>
          </w:tcPr>
          <w:p>
            <w:r/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2232"/>
            <w:shd w:val="clear" w:color="auto" w:fill="1E3A8A"/>
          </w:tcPr>
          <w:p>
            <w:r/>
            <w:r>
              <w:rPr>
                <w:b/>
                <w:color w:val="FFFFFF"/>
                <w:sz w:val="16"/>
              </w:rPr>
              <w:t>File / Component</w:t>
            </w:r>
          </w:p>
        </w:tc>
      </w:tr>
      <w:tr>
        <w:tc>
          <w:tcPr>
            <w:tcW w:type="dxa" w:w="648"/>
          </w:tcPr>
          <w:p>
            <w:r>
              <w:rPr>
                <w:b/>
                <w:color w:val="1E3A8A"/>
                <w:sz w:val="16"/>
              </w:rPr>
              <w:t>P0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Security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Circuit Breaker</w:t>
            </w:r>
          </w:p>
        </w:tc>
        <w:tc>
          <w:tcPr>
            <w:tcW w:type="dxa" w:w="3888"/>
          </w:tcPr>
          <w:p>
            <w:r>
              <w:rPr>
                <w:sz w:val="16"/>
              </w:rPr>
              <w:t>CLOSED/OPEN/HALF_OPEN state machine on all LLM providers; automatic recovery with configurable failure thresholds and reset timeouts.</w:t>
            </w:r>
          </w:p>
        </w:tc>
        <w:tc>
          <w:tcPr>
            <w:tcW w:type="dxa" w:w="2232"/>
          </w:tcPr>
          <w:p>
            <w:r>
              <w:rPr>
                <w:rFonts w:ascii="Courier New" w:hAnsi="Courier New"/>
                <w:color w:val="1D4ED8"/>
                <w:sz w:val="14"/>
              </w:rPr>
              <w:t>app/services/circuit_breaker.py</w:t>
            </w:r>
          </w:p>
        </w:tc>
      </w:tr>
      <w:tr>
        <w:tc>
          <w:tcPr>
            <w:tcW w:type="dxa" w:w="648"/>
            <w:shd w:val="clear" w:color="auto" w:fill="EFF6FF"/>
          </w:tcPr>
          <w:p>
            <w:r>
              <w:rPr>
                <w:b/>
                <w:color w:val="1E3A8A"/>
                <w:sz w:val="16"/>
              </w:rPr>
              <w:t>P0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6"/>
              </w:rPr>
              <w:t>Identity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6"/>
              </w:rPr>
              <w:t>SSO — Google OAuth</w:t>
            </w:r>
          </w:p>
        </w:tc>
        <w:tc>
          <w:tcPr>
            <w:tcW w:type="dxa" w:w="3888"/>
            <w:shd w:val="clear" w:color="auto" w:fill="EFF6FF"/>
          </w:tcPr>
          <w:p>
            <w:r>
              <w:rPr>
                <w:sz w:val="16"/>
              </w:rPr>
              <w:t>Google OAuth 2.0 with domain-based organisation provisioning. Users from a registered domain are automatically mapped to the correct tenant.</w:t>
            </w:r>
          </w:p>
        </w:tc>
        <w:tc>
          <w:tcPr>
            <w:tcW w:type="dxa" w:w="2232"/>
            <w:shd w:val="clear" w:color="auto" w:fill="EFF6FF"/>
          </w:tcPr>
          <w:p>
            <w:r>
              <w:rPr>
                <w:rFonts w:ascii="Courier New" w:hAnsi="Courier New"/>
                <w:color w:val="1D4ED8"/>
                <w:sz w:val="14"/>
              </w:rPr>
              <w:t>nextjs-app/src/lib/auth.ts</w:t>
            </w:r>
          </w:p>
        </w:tc>
      </w:tr>
      <w:tr>
        <w:tc>
          <w:tcPr>
            <w:tcW w:type="dxa" w:w="648"/>
          </w:tcPr>
          <w:p>
            <w:r>
              <w:rPr>
                <w:b/>
                <w:color w:val="1E3A8A"/>
                <w:sz w:val="16"/>
              </w:rPr>
              <w:t>P0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Identity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SSO — Azure Entra ID</w:t>
            </w:r>
          </w:p>
        </w:tc>
        <w:tc>
          <w:tcPr>
            <w:tcW w:type="dxa" w:w="3888"/>
          </w:tcPr>
          <w:p>
            <w:r>
              <w:rPr>
                <w:sz w:val="16"/>
              </w:rPr>
              <w:t>Azure Entra ID (OIDC) integration for enterprise customers. Supports domain provisioning and user sync.</w:t>
            </w:r>
          </w:p>
        </w:tc>
        <w:tc>
          <w:tcPr>
            <w:tcW w:type="dxa" w:w="2232"/>
          </w:tcPr>
          <w:p>
            <w:r>
              <w:rPr>
                <w:rFonts w:ascii="Courier New" w:hAnsi="Courier New"/>
                <w:color w:val="1D4ED8"/>
                <w:sz w:val="14"/>
              </w:rPr>
              <w:t>nextjs-app/src/lib/auth.ts</w:t>
            </w:r>
          </w:p>
        </w:tc>
      </w:tr>
      <w:tr>
        <w:tc>
          <w:tcPr>
            <w:tcW w:type="dxa" w:w="648"/>
            <w:shd w:val="clear" w:color="auto" w:fill="EFF6FF"/>
          </w:tcPr>
          <w:p>
            <w:r>
              <w:rPr>
                <w:b/>
                <w:color w:val="1E3A8A"/>
                <w:sz w:val="16"/>
              </w:rPr>
              <w:t>P0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6"/>
              </w:rPr>
              <w:t>Identity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6"/>
              </w:rPr>
              <w:t>RBAC Hierarchy</w:t>
            </w:r>
          </w:p>
        </w:tc>
        <w:tc>
          <w:tcPr>
            <w:tcW w:type="dxa" w:w="3888"/>
            <w:shd w:val="clear" w:color="auto" w:fill="EFF6FF"/>
          </w:tcPr>
          <w:p>
            <w:r>
              <w:rPr>
                <w:sz w:val="16"/>
              </w:rPr>
              <w:t>Four-level role hierarchy: VIEWER → ANALYST → ADMIN → SUPER_ADMIN. Permission inheritance enforced at API and UI layers.</w:t>
            </w:r>
          </w:p>
        </w:tc>
        <w:tc>
          <w:tcPr>
            <w:tcW w:type="dxa" w:w="2232"/>
            <w:shd w:val="clear" w:color="auto" w:fill="EFF6FF"/>
          </w:tcPr>
          <w:p>
            <w:r>
              <w:rPr>
                <w:rFonts w:ascii="Courier New" w:hAnsi="Courier New"/>
                <w:color w:val="1D4ED8"/>
                <w:sz w:val="14"/>
              </w:rPr>
              <w:t>app/api/auth.py, nextjs-app middleware</w:t>
            </w:r>
          </w:p>
        </w:tc>
      </w:tr>
      <w:tr>
        <w:tc>
          <w:tcPr>
            <w:tcW w:type="dxa" w:w="648"/>
          </w:tcPr>
          <w:p>
            <w:r>
              <w:rPr>
                <w:b/>
                <w:color w:val="1E3A8A"/>
                <w:sz w:val="16"/>
              </w:rPr>
              <w:t>P0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Identity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API Key Management</w:t>
            </w:r>
          </w:p>
        </w:tc>
        <w:tc>
          <w:tcPr>
            <w:tcW w:type="dxa" w:w="3888"/>
          </w:tcPr>
          <w:p>
            <w:r>
              <w:rPr>
                <w:sz w:val="16"/>
              </w:rPr>
              <w:t>SHA-256 hashed API keys with org scope, configurable expiry, and scope arrays for programmatic access.</w:t>
            </w:r>
          </w:p>
        </w:tc>
        <w:tc>
          <w:tcPr>
            <w:tcW w:type="dxa" w:w="2232"/>
          </w:tcPr>
          <w:p>
            <w:r>
              <w:rPr>
                <w:rFonts w:ascii="Courier New" w:hAnsi="Courier New"/>
                <w:color w:val="1D4ED8"/>
                <w:sz w:val="14"/>
              </w:rPr>
              <w:t>app/api/api_keys.py</w:t>
            </w:r>
          </w:p>
        </w:tc>
      </w:tr>
      <w:tr>
        <w:tc>
          <w:tcPr>
            <w:tcW w:type="dxa" w:w="648"/>
            <w:shd w:val="clear" w:color="auto" w:fill="EFF6FF"/>
          </w:tcPr>
          <w:p>
            <w:r>
              <w:rPr>
                <w:b/>
                <w:color w:val="1E3A8A"/>
                <w:sz w:val="16"/>
              </w:rPr>
              <w:t>P0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6"/>
              </w:rPr>
              <w:t>Cost Control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6"/>
              </w:rPr>
              <w:t>Per-Org LLM Budget Enforcement</w:t>
            </w:r>
          </w:p>
        </w:tc>
        <w:tc>
          <w:tcPr>
            <w:tcW w:type="dxa" w:w="3888"/>
            <w:shd w:val="clear" w:color="auto" w:fill="EFF6FF"/>
          </w:tcPr>
          <w:p>
            <w:r>
              <w:rPr>
                <w:sz w:val="16"/>
              </w:rPr>
              <w:t>Monthly token and spend caps per organisation. Hard caps enforced pre-execution with 429 response. Budget period auto-resets via cron.</w:t>
            </w:r>
          </w:p>
        </w:tc>
        <w:tc>
          <w:tcPr>
            <w:tcW w:type="dxa" w:w="2232"/>
            <w:shd w:val="clear" w:color="auto" w:fill="EFF6FF"/>
          </w:tcPr>
          <w:p>
            <w:r>
              <w:rPr>
                <w:rFonts w:ascii="Courier New" w:hAnsi="Courier New"/>
                <w:color w:val="1D4ED8"/>
                <w:sz w:val="14"/>
              </w:rPr>
              <w:t>app/services/budget_enforcement.py</w:t>
            </w:r>
          </w:p>
        </w:tc>
      </w:tr>
      <w:tr>
        <w:tc>
          <w:tcPr>
            <w:tcW w:type="dxa" w:w="648"/>
          </w:tcPr>
          <w:p>
            <w:r>
              <w:rPr>
                <w:b/>
                <w:color w:val="1E3A8A"/>
                <w:sz w:val="16"/>
              </w:rPr>
              <w:t>P0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Security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Prompt Injection Prevention</w:t>
            </w:r>
          </w:p>
        </w:tc>
        <w:tc>
          <w:tcPr>
            <w:tcW w:type="dxa" w:w="3888"/>
          </w:tcPr>
          <w:p>
            <w:r>
              <w:rPr>
                <w:sz w:val="16"/>
              </w:rPr>
              <w:t>10+ regex patterns detect jailbreak attempts in user-supplied text (agent input, document text, URL content) before LLM submission.</w:t>
            </w:r>
          </w:p>
        </w:tc>
        <w:tc>
          <w:tcPr>
            <w:tcW w:type="dxa" w:w="2232"/>
          </w:tcPr>
          <w:p>
            <w:r>
              <w:rPr>
                <w:rFonts w:ascii="Courier New" w:hAnsi="Courier New"/>
                <w:color w:val="1D4ED8"/>
                <w:sz w:val="14"/>
              </w:rPr>
              <w:t>nextjs-app/src/lib/api-validation.ts</w:t>
            </w:r>
          </w:p>
        </w:tc>
      </w:tr>
      <w:tr>
        <w:tc>
          <w:tcPr>
            <w:tcW w:type="dxa" w:w="648"/>
            <w:shd w:val="clear" w:color="auto" w:fill="EFF6FF"/>
          </w:tcPr>
          <w:p>
            <w:r>
              <w:rPr>
                <w:b/>
                <w:color w:val="1E3A8A"/>
                <w:sz w:val="16"/>
              </w:rPr>
              <w:t>P0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6"/>
              </w:rPr>
              <w:t>Reliability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6"/>
              </w:rPr>
              <w:t>Rate Limiting</w:t>
            </w:r>
          </w:p>
        </w:tc>
        <w:tc>
          <w:tcPr>
            <w:tcW w:type="dxa" w:w="3888"/>
            <w:shd w:val="clear" w:color="auto" w:fill="EFF6FF"/>
          </w:tcPr>
          <w:p>
            <w:r>
              <w:rPr>
                <w:sz w:val="16"/>
              </w:rPr>
              <w:t>Per-IP and per-org rate limiting on all API endpoints using sliding window counters in Redis.</w:t>
            </w:r>
          </w:p>
        </w:tc>
        <w:tc>
          <w:tcPr>
            <w:tcW w:type="dxa" w:w="2232"/>
            <w:shd w:val="clear" w:color="auto" w:fill="EFF6FF"/>
          </w:tcPr>
          <w:p>
            <w:r>
              <w:rPr>
                <w:rFonts w:ascii="Courier New" w:hAnsi="Courier New"/>
                <w:color w:val="1D4ED8"/>
                <w:sz w:val="14"/>
              </w:rPr>
              <w:t>app/middleware/rate_limit.py</w:t>
            </w:r>
          </w:p>
        </w:tc>
      </w:tr>
      <w:tr>
        <w:tc>
          <w:tcPr>
            <w:tcW w:type="dxa" w:w="648"/>
          </w:tcPr>
          <w:p>
            <w:r>
              <w:rPr>
                <w:b/>
                <w:color w:val="075D3A"/>
                <w:sz w:val="16"/>
              </w:rPr>
              <w:t>P1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Data Quality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Tier 2a — Code Signal Extraction</w:t>
            </w:r>
          </w:p>
        </w:tc>
        <w:tc>
          <w:tcPr>
            <w:tcW w:type="dxa" w:w="3888"/>
          </w:tcPr>
          <w:p>
            <w:r>
              <w:rPr>
                <w:sz w:val="16"/>
              </w:rPr>
              <w:t>Regex-based extraction of timeout constants, SLA annotations, cron expressions, and ISO 8601 durations from uploaded code/architecture documents. Produces timing evidence with confidence 0.60–0.80.</w:t>
            </w:r>
          </w:p>
        </w:tc>
        <w:tc>
          <w:tcPr>
            <w:tcW w:type="dxa" w:w="2232"/>
          </w:tcPr>
          <w:p>
            <w:r>
              <w:rPr>
                <w:rFonts w:ascii="Courier New" w:hAnsi="Courier New"/>
                <w:color w:val="1D4ED8"/>
                <w:sz w:val="14"/>
              </w:rPr>
              <w:t>app/services/code_signal_extractor.py</w:t>
            </w:r>
          </w:p>
        </w:tc>
      </w:tr>
      <w:tr>
        <w:tc>
          <w:tcPr>
            <w:tcW w:type="dxa" w:w="648"/>
            <w:shd w:val="clear" w:color="auto" w:fill="EFF6FF"/>
          </w:tcPr>
          <w:p>
            <w:r>
              <w:rPr>
                <w:b/>
                <w:color w:val="075D3A"/>
                <w:sz w:val="16"/>
              </w:rPr>
              <w:t>P1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6"/>
              </w:rPr>
              <w:t>Data Quality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6"/>
              </w:rPr>
              <w:t>Tier 3a — Jira Cycle Time Extraction</w:t>
            </w:r>
          </w:p>
        </w:tc>
        <w:tc>
          <w:tcPr>
            <w:tcW w:type="dxa" w:w="3888"/>
            <w:shd w:val="clear" w:color="auto" w:fill="EFF6FF"/>
          </w:tcPr>
          <w:p>
            <w:r>
              <w:rPr>
                <w:sz w:val="16"/>
              </w:rPr>
              <w:t>Parses Jira issue changelogs to compute per-status dwell times. Maps status names to process_time / wait_time via configurable taxonomy. Produces jira_measured timings with confidence 0.70–0.95.</w:t>
            </w:r>
          </w:p>
        </w:tc>
        <w:tc>
          <w:tcPr>
            <w:tcW w:type="dxa" w:w="2232"/>
            <w:shd w:val="clear" w:color="auto" w:fill="EFF6FF"/>
          </w:tcPr>
          <w:p>
            <w:r>
              <w:rPr>
                <w:rFonts w:ascii="Courier New" w:hAnsi="Courier New"/>
                <w:color w:val="1D4ED8"/>
                <w:sz w:val="14"/>
              </w:rPr>
              <w:t>app/services/jira_extractor.py</w:t>
            </w:r>
          </w:p>
        </w:tc>
      </w:tr>
      <w:tr>
        <w:tc>
          <w:tcPr>
            <w:tcW w:type="dxa" w:w="648"/>
          </w:tcPr>
          <w:p>
            <w:r>
              <w:rPr>
                <w:b/>
                <w:color w:val="075D3A"/>
                <w:sz w:val="16"/>
              </w:rPr>
              <w:t>P1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Auditability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Manual Timing Override</w:t>
            </w:r>
          </w:p>
        </w:tc>
        <w:tc>
          <w:tcPr>
            <w:tcW w:type="dxa" w:w="3888"/>
          </w:tcPr>
          <w:p>
            <w:r>
              <w:rPr>
                <w:sz w:val="16"/>
              </w:rPr>
              <w:t>Analysts can override any VSM step timing via UI. Writes timing_source='manual_override', confidence=1.0, and records previous value + override note in timing_overrides audit table.</w:t>
            </w:r>
          </w:p>
        </w:tc>
        <w:tc>
          <w:tcPr>
            <w:tcW w:type="dxa" w:w="2232"/>
          </w:tcPr>
          <w:p>
            <w:r>
              <w:rPr>
                <w:rFonts w:ascii="Courier New" w:hAnsi="Courier New"/>
                <w:color w:val="1D4ED8"/>
                <w:sz w:val="14"/>
              </w:rPr>
              <w:t>app/api/agents.py → /agents/timing-override</w:t>
            </w:r>
          </w:p>
        </w:tc>
      </w:tr>
      <w:tr>
        <w:tc>
          <w:tcPr>
            <w:tcW w:type="dxa" w:w="648"/>
            <w:shd w:val="clear" w:color="auto" w:fill="EFF6FF"/>
          </w:tcPr>
          <w:p>
            <w:r>
              <w:rPr>
                <w:b/>
                <w:color w:val="075D3A"/>
                <w:sz w:val="16"/>
              </w:rPr>
              <w:t>P1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6"/>
              </w:rPr>
              <w:t>Data Quality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6"/>
              </w:rPr>
              <w:t>Agent Output Schema Validation</w:t>
            </w:r>
          </w:p>
        </w:tc>
        <w:tc>
          <w:tcPr>
            <w:tcW w:type="dxa" w:w="3888"/>
            <w:shd w:val="clear" w:color="auto" w:fill="EFF6FF"/>
          </w:tcPr>
          <w:p>
            <w:r>
              <w:rPr>
                <w:sz w:val="16"/>
              </w:rPr>
              <w:t>Post-execution Pydantic validation of all 18 agent outputs. Non-critical validation failures emit warnings rather than failing the execution.</w:t>
            </w:r>
          </w:p>
        </w:tc>
        <w:tc>
          <w:tcPr>
            <w:tcW w:type="dxa" w:w="2232"/>
            <w:shd w:val="clear" w:color="auto" w:fill="EFF6FF"/>
          </w:tcPr>
          <w:p>
            <w:r>
              <w:rPr>
                <w:rFonts w:ascii="Courier New" w:hAnsi="Courier New"/>
                <w:color w:val="1D4ED8"/>
                <w:sz w:val="14"/>
              </w:rPr>
              <w:t>app/agents/orchestrator.py</w:t>
            </w:r>
          </w:p>
        </w:tc>
      </w:tr>
      <w:tr>
        <w:tc>
          <w:tcPr>
            <w:tcW w:type="dxa" w:w="648"/>
          </w:tcPr>
          <w:p>
            <w:r>
              <w:rPr>
                <w:b/>
                <w:color w:val="075D3A"/>
                <w:sz w:val="16"/>
              </w:rPr>
              <w:t>P1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Transparency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Timing Provenance Badges</w:t>
            </w:r>
          </w:p>
        </w:tc>
        <w:tc>
          <w:tcPr>
            <w:tcW w:type="dxa" w:w="3888"/>
          </w:tcPr>
          <w:p>
            <w:r>
              <w:rPr>
                <w:sz w:val="16"/>
              </w:rPr>
              <w:t>Every VSM step carries timing_source (jira_measured / code_signals / manual_override / llm_estimated) and timing_confidence (0.0–1.0) surfaced in the UI.</w:t>
            </w:r>
          </w:p>
        </w:tc>
        <w:tc>
          <w:tcPr>
            <w:tcW w:type="dxa" w:w="2232"/>
          </w:tcPr>
          <w:p>
            <w:r>
              <w:rPr>
                <w:rFonts w:ascii="Courier New" w:hAnsi="Courier New"/>
                <w:color w:val="1D4ED8"/>
                <w:sz w:val="14"/>
              </w:rPr>
              <w:t>nextjs-app/src/components/vsm/</w:t>
            </w:r>
          </w:p>
        </w:tc>
      </w:tr>
      <w:tr>
        <w:tc>
          <w:tcPr>
            <w:tcW w:type="dxa" w:w="648"/>
            <w:shd w:val="clear" w:color="auto" w:fill="EFF6FF"/>
          </w:tcPr>
          <w:p>
            <w:r>
              <w:rPr>
                <w:b/>
                <w:color w:val="78350F"/>
                <w:sz w:val="16"/>
              </w:rPr>
              <w:t>P2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6"/>
              </w:rPr>
              <w:t>DevOps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6"/>
              </w:rPr>
              <w:t>GitHub Actions CI/CD</w:t>
            </w:r>
          </w:p>
        </w:tc>
        <w:tc>
          <w:tcPr>
            <w:tcW w:type="dxa" w:w="3888"/>
            <w:shd w:val="clear" w:color="auto" w:fill="EFF6FF"/>
          </w:tcPr>
          <w:p>
            <w:r>
              <w:rPr>
                <w:sz w:val="16"/>
              </w:rPr>
              <w:t>Full pipeline: Ruff lint + pytest (PostgreSQL + Redis services), TypeScript type-check + ESLint + Next.js build, Jest, Docker multi-stage builds pushed to GHCR, npm audit + pip-audit.</w:t>
            </w:r>
          </w:p>
        </w:tc>
        <w:tc>
          <w:tcPr>
            <w:tcW w:type="dxa" w:w="2232"/>
            <w:shd w:val="clear" w:color="auto" w:fill="EFF6FF"/>
          </w:tcPr>
          <w:p>
            <w:r>
              <w:rPr>
                <w:rFonts w:ascii="Courier New" w:hAnsi="Courier New"/>
                <w:color w:val="1D4ED8"/>
                <w:sz w:val="14"/>
              </w:rPr>
              <w:t>.github/workflows/</w:t>
            </w:r>
          </w:p>
        </w:tc>
      </w:tr>
      <w:tr>
        <w:tc>
          <w:tcPr>
            <w:tcW w:type="dxa" w:w="648"/>
          </w:tcPr>
          <w:p>
            <w:r>
              <w:rPr>
                <w:b/>
                <w:color w:val="78350F"/>
                <w:sz w:val="16"/>
              </w:rPr>
              <w:t>P2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Security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Row-Level Security</w:t>
            </w:r>
          </w:p>
        </w:tc>
        <w:tc>
          <w:tcPr>
            <w:tcW w:type="dxa" w:w="3888"/>
          </w:tcPr>
          <w:p>
            <w:r>
              <w:rPr>
                <w:sz w:val="16"/>
              </w:rPr>
              <w:t>PostgreSQL RLS via app.current_org_id session variable. Data is physically inaccessible to other tenants even if application-layer bugs occur.</w:t>
            </w:r>
          </w:p>
        </w:tc>
        <w:tc>
          <w:tcPr>
            <w:tcW w:type="dxa" w:w="2232"/>
          </w:tcPr>
          <w:p>
            <w:r>
              <w:rPr>
                <w:rFonts w:ascii="Courier New" w:hAnsi="Courier New"/>
                <w:color w:val="1D4ED8"/>
                <w:sz w:val="14"/>
              </w:rPr>
              <w:t>migrations/rls.sql</w:t>
            </w:r>
          </w:p>
        </w:tc>
      </w:tr>
      <w:tr>
        <w:tc>
          <w:tcPr>
            <w:tcW w:type="dxa" w:w="648"/>
            <w:shd w:val="clear" w:color="auto" w:fill="EFF6FF"/>
          </w:tcPr>
          <w:p>
            <w:r>
              <w:rPr>
                <w:b/>
                <w:color w:val="78350F"/>
                <w:sz w:val="16"/>
              </w:rPr>
              <w:t>P2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6"/>
              </w:rPr>
              <w:t>Performance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6"/>
              </w:rPr>
              <w:t>HNSW Vector Index</w:t>
            </w:r>
          </w:p>
        </w:tc>
        <w:tc>
          <w:tcPr>
            <w:tcW w:type="dxa" w:w="3888"/>
            <w:shd w:val="clear" w:color="auto" w:fill="EFF6FF"/>
          </w:tcPr>
          <w:p>
            <w:r>
              <w:rPr>
                <w:sz w:val="16"/>
              </w:rPr>
              <w:t>pgvector HNSW index on context_documents.embedding for sub-millisecond ANN search at scale. Replaces sequential scan on large knowledge bases.</w:t>
            </w:r>
          </w:p>
        </w:tc>
        <w:tc>
          <w:tcPr>
            <w:tcW w:type="dxa" w:w="2232"/>
            <w:shd w:val="clear" w:color="auto" w:fill="EFF6FF"/>
          </w:tcPr>
          <w:p>
            <w:r>
              <w:rPr>
                <w:rFonts w:ascii="Courier New" w:hAnsi="Courier New"/>
                <w:color w:val="1D4ED8"/>
                <w:sz w:val="14"/>
              </w:rPr>
              <w:t>migrations/vector_index.sql</w:t>
            </w:r>
          </w:p>
        </w:tc>
      </w:tr>
      <w:tr>
        <w:tc>
          <w:tcPr>
            <w:tcW w:type="dxa" w:w="648"/>
          </w:tcPr>
          <w:p>
            <w:r>
              <w:rPr>
                <w:b/>
                <w:color w:val="78350F"/>
                <w:sz w:val="16"/>
              </w:rPr>
              <w:t>P2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Benchmarking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Cross-Org Benchmark Aggregation</w:t>
            </w:r>
          </w:p>
        </w:tc>
        <w:tc>
          <w:tcPr>
            <w:tcW w:type="dxa" w:w="3888"/>
          </w:tcPr>
          <w:p>
            <w:r>
              <w:rPr>
                <w:sz w:val="16"/>
              </w:rPr>
              <w:t>Anonymised p25/p50/p75 flow efficiency benchmarks aggregated by industry type across all tenant organisations. Used to calibrate future state projections.</w:t>
            </w:r>
          </w:p>
        </w:tc>
        <w:tc>
          <w:tcPr>
            <w:tcW w:type="dxa" w:w="2232"/>
          </w:tcPr>
          <w:p>
            <w:r>
              <w:rPr>
                <w:rFonts w:ascii="Courier New" w:hAnsi="Courier New"/>
                <w:color w:val="1D4ED8"/>
                <w:sz w:val="14"/>
              </w:rPr>
              <w:t>app/services/benchmark_service.py</w:t>
            </w:r>
          </w:p>
        </w:tc>
      </w:tr>
      <w:tr>
        <w:tc>
          <w:tcPr>
            <w:tcW w:type="dxa" w:w="648"/>
            <w:shd w:val="clear" w:color="auto" w:fill="EFF6FF"/>
          </w:tcPr>
          <w:p>
            <w:r>
              <w:rPr>
                <w:b/>
                <w:color w:val="78350F"/>
                <w:sz w:val="16"/>
              </w:rPr>
              <w:t>P2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6"/>
              </w:rPr>
              <w:t>Reliability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6"/>
              </w:rPr>
              <w:t>Memory Pruning</w:t>
            </w:r>
          </w:p>
        </w:tc>
        <w:tc>
          <w:tcPr>
            <w:tcW w:type="dxa" w:w="3888"/>
            <w:shd w:val="clear" w:color="auto" w:fill="EFF6FF"/>
          </w:tcPr>
          <w:p>
            <w:r>
              <w:rPr>
                <w:sz w:val="16"/>
              </w:rPr>
              <w:t>LRU eviction and 90-day TTL on agent context cache entries. Prevents unbounded memory growth in long-running deployments.</w:t>
            </w:r>
          </w:p>
        </w:tc>
        <w:tc>
          <w:tcPr>
            <w:tcW w:type="dxa" w:w="2232"/>
            <w:shd w:val="clear" w:color="auto" w:fill="EFF6FF"/>
          </w:tcPr>
          <w:p>
            <w:r>
              <w:rPr>
                <w:rFonts w:ascii="Courier New" w:hAnsi="Courier New"/>
                <w:color w:val="1D4ED8"/>
                <w:sz w:val="14"/>
              </w:rPr>
              <w:t>app/services/memory_manager.py</w:t>
            </w:r>
          </w:p>
        </w:tc>
      </w:tr>
      <w:tr>
        <w:tc>
          <w:tcPr>
            <w:tcW w:type="dxa" w:w="648"/>
          </w:tcPr>
          <w:p>
            <w:r>
              <w:rPr>
                <w:b/>
                <w:color w:val="78350F"/>
                <w:sz w:val="16"/>
              </w:rPr>
              <w:t>P2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Cost Control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Budget Period Reset Cron</w:t>
            </w:r>
          </w:p>
        </w:tc>
        <w:tc>
          <w:tcPr>
            <w:tcW w:type="dxa" w:w="3888"/>
          </w:tcPr>
          <w:p>
            <w:r>
              <w:rPr>
                <w:sz w:val="16"/>
              </w:rPr>
              <w:t>Monthly cron job resets per-org token/spend counters so budget caps apply per billing period rather than accumulating indefinitely.</w:t>
            </w:r>
          </w:p>
        </w:tc>
        <w:tc>
          <w:tcPr>
            <w:tcW w:type="dxa" w:w="2232"/>
          </w:tcPr>
          <w:p>
            <w:r>
              <w:rPr>
                <w:rFonts w:ascii="Courier New" w:hAnsi="Courier New"/>
                <w:color w:val="1D4ED8"/>
                <w:sz w:val="14"/>
              </w:rPr>
              <w:t>app/tasks/budget_reset.py</w:t>
            </w:r>
          </w:p>
        </w:tc>
      </w:tr>
      <w:tr>
        <w:tc>
          <w:tcPr>
            <w:tcW w:type="dxa" w:w="648"/>
            <w:shd w:val="clear" w:color="auto" w:fill="EFF6FF"/>
          </w:tcPr>
          <w:p>
            <w:r>
              <w:rPr>
                <w:b/>
                <w:color w:val="4C1D95"/>
                <w:sz w:val="16"/>
              </w:rPr>
              <w:t>P3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6"/>
              </w:rPr>
              <w:t>Cost Optimisation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6"/>
              </w:rPr>
              <w:t>Model Cost Tiering</w:t>
            </w:r>
          </w:p>
        </w:tc>
        <w:tc>
          <w:tcPr>
            <w:tcW w:type="dxa" w:w="3888"/>
            <w:shd w:val="clear" w:color="auto" w:fill="EFF6FF"/>
          </w:tcPr>
          <w:p>
            <w:r>
              <w:rPr>
                <w:sz w:val="16"/>
              </w:rPr>
              <w:t>Formatting tasks (Mermaid diagram generation, JSON reshaping) routed to claude-haiku-4-5 (~10–15× cheaper). Core analysis tasks retain enterprise-grade models. 20–35% cost reduction per execution.</w:t>
            </w:r>
          </w:p>
        </w:tc>
        <w:tc>
          <w:tcPr>
            <w:tcW w:type="dxa" w:w="2232"/>
            <w:shd w:val="clear" w:color="auto" w:fill="EFF6FF"/>
          </w:tcPr>
          <w:p>
            <w:r>
              <w:rPr>
                <w:rFonts w:ascii="Courier New" w:hAnsi="Courier New"/>
                <w:color w:val="1D4ED8"/>
                <w:sz w:val="14"/>
              </w:rPr>
              <w:t>app/services/llm_config.py → LIGHT_TASK_MODEL</w:t>
            </w:r>
          </w:p>
        </w:tc>
      </w:tr>
      <w:tr>
        <w:tc>
          <w:tcPr>
            <w:tcW w:type="dxa" w:w="648"/>
          </w:tcPr>
          <w:p>
            <w:r>
              <w:rPr>
                <w:b/>
                <w:color w:val="4C1D95"/>
                <w:sz w:val="16"/>
              </w:rPr>
              <w:t>P3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Multi-Tenancy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Per-Org Anthropic API Key</w:t>
            </w:r>
          </w:p>
        </w:tc>
        <w:tc>
          <w:tcPr>
            <w:tcW w:type="dxa" w:w="3888"/>
          </w:tcPr>
          <w:p>
            <w:r>
              <w:rPr>
                <w:sz w:val="16"/>
              </w:rPr>
              <w:t>Enterprise customers supply their own Anthropic API key. Injected via Python ContextVar scoped to the executing asyncio Task — no signature changes required. Cleared in finally block to prevent cross-request leakage.</w:t>
            </w:r>
          </w:p>
        </w:tc>
        <w:tc>
          <w:tcPr>
            <w:tcW w:type="dxa" w:w="2232"/>
          </w:tcPr>
          <w:p>
            <w:r>
              <w:rPr>
                <w:rFonts w:ascii="Courier New" w:hAnsi="Courier New"/>
                <w:color w:val="1D4ED8"/>
                <w:sz w:val="14"/>
              </w:rPr>
              <w:t>app/services/llm_router.py → _org_anthropic_key</w:t>
            </w:r>
          </w:p>
        </w:tc>
      </w:tr>
      <w:tr>
        <w:tc>
          <w:tcPr>
            <w:tcW w:type="dxa" w:w="648"/>
            <w:shd w:val="clear" w:color="auto" w:fill="EFF6FF"/>
          </w:tcPr>
          <w:p>
            <w:r>
              <w:rPr>
                <w:b/>
                <w:color w:val="4C1D95"/>
                <w:sz w:val="16"/>
              </w:rPr>
              <w:t>P3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6"/>
              </w:rPr>
              <w:t>Security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6"/>
              </w:rPr>
              <w:t>Content Filtering on Uploads</w:t>
            </w:r>
          </w:p>
        </w:tc>
        <w:tc>
          <w:tcPr>
            <w:tcW w:type="dxa" w:w="3888"/>
            <w:shd w:val="clear" w:color="auto" w:fill="EFF6FF"/>
          </w:tcPr>
          <w:p>
            <w:r>
              <w:rPr>
                <w:sz w:val="16"/>
              </w:rPr>
              <w:t>Uploaded documents (.txt, .md, .json, .csv) and URL-fetched content scanned for adversarial payloads before indexing. Returns 400/422 on detection.</w:t>
            </w:r>
          </w:p>
        </w:tc>
        <w:tc>
          <w:tcPr>
            <w:tcW w:type="dxa" w:w="2232"/>
            <w:shd w:val="clear" w:color="auto" w:fill="EFF6FF"/>
          </w:tcPr>
          <w:p>
            <w:r>
              <w:rPr>
                <w:rFonts w:ascii="Courier New" w:hAnsi="Courier New"/>
                <w:color w:val="1D4ED8"/>
                <w:sz w:val="14"/>
              </w:rPr>
              <w:t>nextjs-app/src/app/api/context/upload/route.ts</w:t>
            </w:r>
          </w:p>
        </w:tc>
      </w:tr>
      <w:tr>
        <w:tc>
          <w:tcPr>
            <w:tcW w:type="dxa" w:w="648"/>
          </w:tcPr>
          <w:p>
            <w:r>
              <w:rPr>
                <w:b/>
                <w:color w:val="4C1D95"/>
                <w:sz w:val="16"/>
              </w:rPr>
              <w:t>P3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Security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Recursive Input Sanitization</w:t>
            </w:r>
          </w:p>
        </w:tc>
        <w:tc>
          <w:tcPr>
            <w:tcW w:type="dxa" w:w="3888"/>
          </w:tcPr>
          <w:p>
            <w:r>
              <w:rPr>
                <w:sz w:val="16"/>
              </w:rPr>
              <w:t>All user-controlled fields in agent execution paths sanitized at injection time. Prevents prompt injection through nested JSON structures in inputData.</w:t>
            </w:r>
          </w:p>
        </w:tc>
        <w:tc>
          <w:tcPr>
            <w:tcW w:type="dxa" w:w="2232"/>
          </w:tcPr>
          <w:p>
            <w:r>
              <w:rPr>
                <w:rFonts w:ascii="Courier New" w:hAnsi="Courier New"/>
                <w:color w:val="1D4ED8"/>
                <w:sz w:val="14"/>
              </w:rPr>
              <w:t>nextjs-app/src/app/api/agents/execute/route.ts</w:t>
            </w:r>
          </w:p>
        </w:tc>
      </w:tr>
      <w:tr>
        <w:tc>
          <w:tcPr>
            <w:tcW w:type="dxa" w:w="648"/>
            <w:shd w:val="clear" w:color="auto" w:fill="EFF6FF"/>
          </w:tcPr>
          <w:p>
            <w:r>
              <w:rPr>
                <w:b/>
                <w:color w:val="4C1D95"/>
                <w:sz w:val="16"/>
              </w:rPr>
              <w:t>P3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6"/>
              </w:rPr>
              <w:t>Reliability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6"/>
              </w:rPr>
              <w:t>Fixed LLM Router Circular Dependency</w:t>
            </w:r>
          </w:p>
        </w:tc>
        <w:tc>
          <w:tcPr>
            <w:tcW w:type="dxa" w:w="3888"/>
            <w:shd w:val="clear" w:color="auto" w:fill="EFF6FF"/>
          </w:tcPr>
          <w:p>
            <w:r>
              <w:rPr>
                <w:sz w:val="16"/>
              </w:rPr>
              <w:t>Eliminated circular call chain: _call_anthropic → claude_client → llm_router → _call_anthropic (infinite recursion in production). Rewrote _call_anthropic to call Anthropic SDK directly.</w:t>
            </w:r>
          </w:p>
        </w:tc>
        <w:tc>
          <w:tcPr>
            <w:tcW w:type="dxa" w:w="2232"/>
            <w:shd w:val="clear" w:color="auto" w:fill="EFF6FF"/>
          </w:tcPr>
          <w:p>
            <w:r>
              <w:rPr>
                <w:rFonts w:ascii="Courier New" w:hAnsi="Courier New"/>
                <w:color w:val="1D4ED8"/>
                <w:sz w:val="14"/>
              </w:rPr>
              <w:t>app/services/llm_router.py</w:t>
            </w:r>
          </w:p>
        </w:tc>
      </w:tr>
      <w:tr>
        <w:tc>
          <w:tcPr>
            <w:tcW w:type="dxa" w:w="648"/>
          </w:tcPr>
          <w:p>
            <w:r>
              <w:rPr>
                <w:b/>
                <w:color w:val="7F1D1D"/>
                <w:sz w:val="16"/>
              </w:rPr>
              <w:t>P4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Data Quality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P4 Hallucination Detection</w:t>
            </w:r>
          </w:p>
        </w:tc>
        <w:tc>
          <w:tcPr>
            <w:tcW w:type="dxa" w:w="3888"/>
          </w:tcPr>
          <w:p>
            <w:r>
              <w:rPr>
                <w:sz w:val="16"/>
              </w:rPr>
              <w:t>Post-processing layer catches: negative times (critical), flow efficiency &gt; 100% (critical), lead_time &lt; PT+WT (critical), suspiciously round numbers (info), placeholder names (warning), identical risk scores (warning). Injects advisory _hallucination_flags dict; never blocks execution.</w:t>
            </w:r>
          </w:p>
        </w:tc>
        <w:tc>
          <w:tcPr>
            <w:tcW w:type="dxa" w:w="2232"/>
          </w:tcPr>
          <w:p>
            <w:r>
              <w:rPr>
                <w:rFonts w:ascii="Courier New" w:hAnsi="Courier New"/>
                <w:color w:val="1D4ED8"/>
                <w:sz w:val="14"/>
              </w:rPr>
              <w:t>app/services/hallucination_detector.py</w:t>
            </w:r>
          </w:p>
        </w:tc>
      </w:tr>
      <w:tr>
        <w:tc>
          <w:tcPr>
            <w:tcW w:type="dxa" w:w="648"/>
            <w:shd w:val="clear" w:color="auto" w:fill="EFF6FF"/>
          </w:tcPr>
          <w:p>
            <w:r>
              <w:rPr>
                <w:b/>
                <w:color w:val="7F1D1D"/>
                <w:sz w:val="16"/>
              </w:rPr>
              <w:t>P4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6"/>
              </w:rPr>
              <w:t>Experimentation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6"/>
              </w:rPr>
              <w:t>A/B Testing Framework</w:t>
            </w:r>
          </w:p>
        </w:tc>
        <w:tc>
          <w:tcPr>
            <w:tcW w:type="dxa" w:w="3888"/>
            <w:shd w:val="clear" w:color="auto" w:fill="EFF6FF"/>
          </w:tcPr>
          <w:p>
            <w:r>
              <w:rPr>
                <w:sz w:val="16"/>
              </w:rPr>
              <w:t>Deterministic SHA-256 variant assignment by execution_id (reproducible). Outcome metrics (steps discovered, confidence scores, hallucination flags) tracked per variant. Safe prompt experimentation without full rollout.</w:t>
            </w:r>
          </w:p>
        </w:tc>
        <w:tc>
          <w:tcPr>
            <w:tcW w:type="dxa" w:w="2232"/>
            <w:shd w:val="clear" w:color="auto" w:fill="EFF6FF"/>
          </w:tcPr>
          <w:p>
            <w:r>
              <w:rPr>
                <w:rFonts w:ascii="Courier New" w:hAnsi="Courier New"/>
                <w:color w:val="1D4ED8"/>
                <w:sz w:val="14"/>
              </w:rPr>
              <w:t>app/services/ab_testing.py</w:t>
            </w:r>
          </w:p>
        </w:tc>
      </w:tr>
      <w:tr>
        <w:tc>
          <w:tcPr>
            <w:tcW w:type="dxa" w:w="648"/>
          </w:tcPr>
          <w:p>
            <w:r>
              <w:rPr>
                <w:b/>
                <w:color w:val="7F1D1D"/>
                <w:sz w:val="16"/>
              </w:rPr>
              <w:t>P4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Data Quality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Process Mining Engine</w:t>
            </w:r>
          </w:p>
        </w:tc>
        <w:tc>
          <w:tcPr>
            <w:tcW w:type="dxa" w:w="3888"/>
          </w:tcPr>
          <w:p>
            <w:r>
              <w:rPr>
                <w:sz w:val="16"/>
              </w:rPr>
              <w:t>Lightweight CSV event log ingestion (case_id, activity, timestamp). Computes activity stats, transition frequencies, bottleneck ranking (wait × frequency), and maps discovered timings to VSM steps via token similarity. Third independent evidence source alongside Jira and code signals.</w:t>
            </w:r>
          </w:p>
        </w:tc>
        <w:tc>
          <w:tcPr>
            <w:tcW w:type="dxa" w:w="2232"/>
          </w:tcPr>
          <w:p>
            <w:r>
              <w:rPr>
                <w:rFonts w:ascii="Courier New" w:hAnsi="Courier New"/>
                <w:color w:val="1D4ED8"/>
                <w:sz w:val="14"/>
              </w:rPr>
              <w:t>app/services/process_mining.py</w:t>
            </w:r>
          </w:p>
        </w:tc>
      </w:tr>
      <w:tr>
        <w:tc>
          <w:tcPr>
            <w:tcW w:type="dxa" w:w="648"/>
            <w:shd w:val="clear" w:color="auto" w:fill="EFF6FF"/>
          </w:tcPr>
          <w:p>
            <w:r>
              <w:rPr>
                <w:b/>
                <w:color w:val="7F1D1D"/>
                <w:sz w:val="16"/>
              </w:rPr>
              <w:t>P4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6"/>
              </w:rPr>
              <w:t>Performance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sz w:val="16"/>
              </w:rPr>
              <w:t>Read Replica Database Pool</w:t>
            </w:r>
          </w:p>
        </w:tc>
        <w:tc>
          <w:tcPr>
            <w:tcW w:type="dxa" w:w="3888"/>
            <w:shd w:val="clear" w:color="auto" w:fill="EFF6FF"/>
          </w:tcPr>
          <w:p>
            <w:r>
              <w:rPr>
                <w:sz w:val="16"/>
              </w:rPr>
              <w:t>Separate asyncpg pool for DATABASE_READ_URL. Analytics queries (benchmarks, metrics, process mining) offloaded to read replica. Falls back to primary if read URL not configured.</w:t>
            </w:r>
          </w:p>
        </w:tc>
        <w:tc>
          <w:tcPr>
            <w:tcW w:type="dxa" w:w="2232"/>
            <w:shd w:val="clear" w:color="auto" w:fill="EFF6FF"/>
          </w:tcPr>
          <w:p>
            <w:r>
              <w:rPr>
                <w:rFonts w:ascii="Courier New" w:hAnsi="Courier New"/>
                <w:color w:val="1D4ED8"/>
                <w:sz w:val="14"/>
              </w:rPr>
              <w:t>app/core/database.py → ReadDatabasePool</w:t>
            </w:r>
          </w:p>
        </w:tc>
      </w:tr>
      <w:tr>
        <w:tc>
          <w:tcPr>
            <w:tcW w:type="dxa" w:w="648"/>
          </w:tcPr>
          <w:p>
            <w:r>
              <w:rPr>
                <w:b/>
                <w:color w:val="7F1D1D"/>
                <w:sz w:val="16"/>
              </w:rPr>
              <w:t>P4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DevOps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Kubernetes Manifests</w:t>
            </w:r>
          </w:p>
        </w:tc>
        <w:tc>
          <w:tcPr>
            <w:tcW w:type="dxa" w:w="3888"/>
          </w:tcPr>
          <w:p>
            <w:r>
              <w:rPr>
                <w:sz w:val="16"/>
              </w:rPr>
              <w:t>Production-ready K8s configs: HPA on agent-service (2–10 replicas) and Next.js (2–8 replicas), PostgreSQL StatefulSet with 50Gi PVC, Redis Deployment, nginx Ingress with TLS and SSE proxy-buffering off, rolling updates with maxUnavailable=0.</w:t>
            </w:r>
          </w:p>
        </w:tc>
        <w:tc>
          <w:tcPr>
            <w:tcW w:type="dxa" w:w="2232"/>
          </w:tcPr>
          <w:p>
            <w:r>
              <w:rPr>
                <w:rFonts w:ascii="Courier New" w:hAnsi="Courier New"/>
                <w:color w:val="1D4ED8"/>
                <w:sz w:val="14"/>
              </w:rPr>
              <w:t>k8s/ (9 manifest files)</w:t>
            </w:r>
          </w:p>
        </w:tc>
      </w:tr>
    </w:tbl>
    <w:p/>
    <w:p>
      <w:pPr>
        <w:pStyle w:val="Heading2"/>
        <w:spacing w:before="280" w:after="120"/>
      </w:pPr>
      <w:r>
        <w:rPr>
          <w:b/>
          <w:color w:val="1E3A8A"/>
          <w:sz w:val="28"/>
        </w:rPr>
        <w:t>Test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E3A8A"/>
          </w:tcPr>
          <w:p>
            <w:r/>
            <w:r>
              <w:rPr>
                <w:b/>
                <w:color w:val="FFFFFF"/>
                <w:sz w:val="18"/>
              </w:rPr>
              <w:t>Test File</w:t>
            </w:r>
          </w:p>
        </w:tc>
        <w:tc>
          <w:tcPr>
            <w:tcW w:type="dxa" w:w="3024"/>
            <w:shd w:val="clear" w:color="auto" w:fill="1E3A8A"/>
          </w:tcPr>
          <w:p>
            <w:r/>
            <w:r>
              <w:rPr>
                <w:b/>
                <w:color w:val="FFFFFF"/>
                <w:sz w:val="18"/>
              </w:rPr>
              <w:t>Tests</w:t>
            </w:r>
          </w:p>
        </w:tc>
        <w:tc>
          <w:tcPr>
            <w:tcW w:type="dxa" w:w="3024"/>
            <w:shd w:val="clear" w:color="auto" w:fill="1E3A8A"/>
          </w:tcPr>
          <w:p>
            <w:r/>
            <w:r>
              <w:rPr>
                <w:b/>
                <w:color w:val="FFFFFF"/>
                <w:sz w:val="18"/>
              </w:rPr>
              <w:t>Coverage</w:t>
            </w:r>
          </w:p>
        </w:tc>
      </w:tr>
      <w:tr>
        <w:tc>
          <w:tcPr>
            <w:tcW w:type="dxa" w:w="3024"/>
          </w:tcPr>
          <w:p>
            <w:r>
              <w:rPr>
                <w:rFonts w:ascii="Courier New" w:hAnsi="Courier New"/>
                <w:sz w:val="16"/>
              </w:rPr>
              <w:t>test_llm_router.py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All routing, fallback, cost tiering, per-org key, token tracking</w:t>
            </w:r>
          </w:p>
        </w:tc>
      </w:tr>
      <w:tr>
        <w:tc>
          <w:tcPr>
            <w:tcW w:type="dxa" w:w="3024"/>
            <w:shd w:val="clear" w:color="auto" w:fill="EFF6FF"/>
          </w:tcPr>
          <w:p>
            <w:r>
              <w:rPr>
                <w:rFonts w:ascii="Courier New" w:hAnsi="Courier New"/>
                <w:sz w:val="16"/>
              </w:rPr>
              <w:t>test_hallucination_detector.py</w:t>
            </w:r>
          </w:p>
        </w:tc>
        <w:tc>
          <w:tcPr>
            <w:tcW w:type="dxa" w:w="3024"/>
            <w:shd w:val="clear" w:color="auto" w:fill="EFF6FF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3024"/>
            <w:shd w:val="clear" w:color="auto" w:fill="EFF6FF"/>
          </w:tcPr>
          <w:p>
            <w:r>
              <w:rPr>
                <w:sz w:val="18"/>
              </w:rPr>
              <w:t>All severity levels: critical/warning/info; edge cases; dispatcher</w:t>
            </w:r>
          </w:p>
        </w:tc>
      </w:tr>
      <w:tr>
        <w:tc>
          <w:tcPr>
            <w:tcW w:type="dxa" w:w="3024"/>
          </w:tcPr>
          <w:p>
            <w:r>
              <w:rPr>
                <w:rFonts w:ascii="Courier New" w:hAnsi="Courier New"/>
                <w:sz w:val="16"/>
              </w:rPr>
              <w:t>test_process_mining.py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CSV parsing, activity stats, transitions, bottleneck ranking, VSM mapping</w:t>
            </w:r>
          </w:p>
        </w:tc>
      </w:tr>
      <w:tr>
        <w:tc>
          <w:tcPr>
            <w:tcW w:type="dxa" w:w="3024"/>
            <w:shd w:val="clear" w:color="auto" w:fill="EFF6FF"/>
          </w:tcPr>
          <w:p>
            <w:r>
              <w:rPr>
                <w:rFonts w:ascii="Courier New" w:hAnsi="Courier New"/>
                <w:sz w:val="16"/>
              </w:rPr>
              <w:t>test_ab_testing.py</w:t>
            </w:r>
          </w:p>
        </w:tc>
        <w:tc>
          <w:tcPr>
            <w:tcW w:type="dxa" w:w="3024"/>
            <w:shd w:val="clear" w:color="auto" w:fill="EFF6FF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024"/>
            <w:shd w:val="clear" w:color="auto" w:fill="EFF6FF"/>
          </w:tcPr>
          <w:p>
            <w:r>
              <w:rPr>
                <w:sz w:val="18"/>
              </w:rPr>
              <w:t>Deterministic assignment, outcome recording, experiment summary, edge cases</w:t>
            </w:r>
          </w:p>
        </w:tc>
      </w:tr>
      <w:tr>
        <w:tc>
          <w:tcPr>
            <w:tcW w:type="dxa" w:w="3024"/>
          </w:tcPr>
          <w:p>
            <w:r>
              <w:rPr>
                <w:rFonts w:ascii="Courier New" w:hAnsi="Courier New"/>
                <w:b/>
                <w:sz w:val="16"/>
              </w:rPr>
              <w:t>Total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65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</w:r>
          </w:p>
        </w:tc>
      </w:tr>
    </w:tbl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