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pPr>
      <w:r>
        <w:rPr>
          <w:b/>
          <w:color w:val="0C1C3A"/>
          <w:sz w:val="44"/>
        </w:rPr>
        <w:t>The $900 Billion Problem That Better Workshops Won't Solve</w:t>
      </w:r>
    </w:p>
    <w:p>
      <w:pPr>
        <w:pStyle w:val="Heading2"/>
        <w:spacing w:before="280" w:after="80"/>
      </w:pPr>
      <w:r>
        <w:rPr>
          <w:b/>
          <w:color w:val="1E3A8A"/>
          <w:sz w:val="32"/>
        </w:rPr>
        <w:t>TransformHub Point of View — Enterprise Digital Transformation Intelligence</w:t>
      </w:r>
    </w:p>
    <w:p>
      <w:pPr>
        <w:spacing w:before="120" w:after="120"/>
      </w:pPr>
      <w:r>
        <w:t>────────────────────────────────────────────────────────────</w:t>
      </w:r>
    </w:p>
    <w:p>
      <w:pPr>
        <w:pStyle w:val="Heading2"/>
        <w:spacing w:before="280" w:after="80"/>
      </w:pPr>
      <w:r>
        <w:rPr>
          <w:b/>
          <w:color w:val="1E3A8A"/>
          <w:sz w:val="32"/>
        </w:rPr>
        <w:t>The Number No One Wants to Own</w:t>
      </w:r>
    </w:p>
    <w:p>
      <w:pPr>
        <w:spacing w:after="80"/>
      </w:pPr>
      <w:r>
        <w:rPr>
          <w:sz w:val="20"/>
        </w:rPr>
        <w:t xml:space="preserve">Every year, enterprises around the world spend approximately </w:t>
      </w:r>
      <w:r>
        <w:rPr>
          <w:b/>
          <w:sz w:val="20"/>
        </w:rPr>
        <w:t>$2.3 trillion</w:t>
      </w:r>
      <w:r>
        <w:rPr>
          <w:sz w:val="20"/>
        </w:rPr>
        <w:t xml:space="preserve"> on digital transformation. McKinsey's research puts the annual write-off from failed or underperforming programmes at </w:t>
      </w:r>
      <w:r>
        <w:rPr>
          <w:b/>
          <w:sz w:val="20"/>
        </w:rPr>
        <w:t>$900 billion</w:t>
      </w:r>
      <w:r>
        <w:rPr>
          <w:sz w:val="20"/>
        </w:rPr>
        <w:t xml:space="preserve"> — roughly 39 cents of every dollar invested, gone. Not misrouted. Gone.</w:t>
      </w:r>
    </w:p>
    <w:p>
      <w:pPr>
        <w:spacing w:after="80"/>
      </w:pPr>
      <w:r>
        <w:rPr>
          <w:sz w:val="20"/>
        </w:rPr>
        <w:t>The standard explanation is that organisations lack execution capability, change management discipline, or leadership alignment. These explanations are comforting because they point to problems that sound fixable with more training, better culture, stronger sponsorship.</w:t>
      </w:r>
    </w:p>
    <w:p>
      <w:pPr>
        <w:spacing w:after="80"/>
      </w:pPr>
      <w:r>
        <w:rPr>
          <w:sz w:val="20"/>
        </w:rPr>
        <w:t>They are also wrong.</w:t>
      </w:r>
    </w:p>
    <w:p>
      <w:pPr>
        <w:spacing w:after="80"/>
      </w:pPr>
      <w:r>
        <w:rPr>
          <w:sz w:val="20"/>
        </w:rPr>
        <w:t xml:space="preserve">The real cause is simpler and more structural: </w:t>
      </w:r>
      <w:r>
        <w:rPr>
          <w:b/>
          <w:sz w:val="20"/>
        </w:rPr>
        <w:t>enterprises are making $50–100 million investment decisions using analysis that is six months old, built from opinions rather than data, and disconnected from the systems that contain the truth.</w:t>
      </w:r>
      <w:r>
        <w:rPr>
          <w:sz w:val="20"/>
        </w:rPr>
      </w:r>
    </w:p>
    <w:p>
      <w:pPr>
        <w:spacing w:after="80"/>
      </w:pPr>
      <w:r>
        <w:rPr>
          <w:sz w:val="20"/>
        </w:rPr>
        <w:t>This is not a soft problem. It is a measurement problem. And measurement problems have measurement solutions.</w:t>
      </w:r>
    </w:p>
    <w:p>
      <w:pPr>
        <w:spacing w:before="120" w:after="120"/>
      </w:pPr>
      <w:r>
        <w:t>────────────────────────────────────────────────────────────</w:t>
      </w:r>
    </w:p>
    <w:p>
      <w:pPr>
        <w:pStyle w:val="Heading2"/>
        <w:spacing w:before="280" w:after="80"/>
      </w:pPr>
      <w:r>
        <w:rPr>
          <w:b/>
          <w:color w:val="1E3A8A"/>
          <w:sz w:val="32"/>
        </w:rPr>
        <w:t>How Transformation Programmes Actually Begin</w:t>
      </w:r>
    </w:p>
    <w:p>
      <w:pPr>
        <w:spacing w:after="80"/>
      </w:pPr>
      <w:r>
        <w:rPr>
          <w:sz w:val="20"/>
        </w:rPr>
        <w:t>Picture the start of a typical enterprise transformation programme. A Digital Transformation Office has secured board approval for a multi-year, multi-million dollar investment. The mandate is clear. The budget is real. Now the work of analysis begins.</w:t>
      </w:r>
    </w:p>
    <w:p>
      <w:pPr>
        <w:spacing w:after="80"/>
      </w:pPr>
      <w:r>
        <w:rPr>
          <w:sz w:val="20"/>
        </w:rPr>
        <w:t>An architecture team is assembled. Consultants are engaged. Workshops are scheduled. Subject matter experts — developers, product managers, operations leads — are pulled from their day jobs to sit in rooms and describe, from memory, how their systems work and how long things take.</w:t>
      </w:r>
    </w:p>
    <w:p>
      <w:pPr>
        <w:spacing w:after="80"/>
      </w:pPr>
      <w:r>
        <w:rPr>
          <w:sz w:val="20"/>
        </w:rPr>
        <w:t xml:space="preserve">Over six to twelve weeks, value stream maps are drawn on whiteboards, transferred to Miro, cleaned up in PowerPoint, reviewed, revised, and eventually approved. Each map represents one product. If the portfolio has forty products, the full baseline will take </w:t>
      </w:r>
      <w:r>
        <w:rPr>
          <w:b/>
          <w:sz w:val="20"/>
        </w:rPr>
        <w:t>forty to sixty weeks</w:t>
      </w:r>
      <w:r>
        <w:rPr>
          <w:sz w:val="20"/>
        </w:rPr>
        <w:t xml:space="preserve"> and cost between </w:t>
      </w:r>
      <w:r>
        <w:rPr>
          <w:b/>
          <w:sz w:val="20"/>
        </w:rPr>
        <w:t>$1.5M and $4M</w:t>
      </w:r>
      <w:r>
        <w:rPr>
          <w:sz w:val="20"/>
        </w:rPr>
        <w:t xml:space="preserve"> in internal time and consultant fees — before the first line of transformation code is written.</w:t>
      </w:r>
    </w:p>
    <w:p>
      <w:pPr>
        <w:spacing w:after="80"/>
      </w:pPr>
      <w:r>
        <w:rPr>
          <w:sz w:val="20"/>
        </w:rPr>
        <w:t>At the end of this process, the organisation has a set of PowerPoint decks that answer the question: *what did our systems look like six months ago, according to the people we asked?*</w:t>
      </w:r>
    </w:p>
    <w:p>
      <w:pPr>
        <w:spacing w:after="80"/>
      </w:pPr>
      <w:r>
        <w:rPr>
          <w:sz w:val="20"/>
        </w:rPr>
        <w:t>This is the foundation upon which $50–100 million investment decisions are made.</w:t>
      </w:r>
    </w:p>
    <w:p>
      <w:pPr>
        <w:ind w:left="576"/>
      </w:pPr>
      <w:r>
        <w:rPr>
          <w:i/>
          <w:color w:val="2563EB"/>
          <w:sz w:val="20"/>
        </w:rPr>
        <w:t>*"We had gut instinct from our architects, contradicted by competing gut instinct from our product managers. We needed numbers. Real numbers. Not consultant estimates dressed up as data."*</w:t>
      </w:r>
    </w:p>
    <w:p>
      <w:pPr>
        <w:spacing w:after="80"/>
      </w:pPr>
      <w:r>
        <w:rPr>
          <w:sz w:val="20"/>
        </w:rPr>
        <w:t>&gt;</w:t>
      </w:r>
    </w:p>
    <w:p>
      <w:pPr>
        <w:ind w:left="576"/>
      </w:pPr>
      <w:r>
        <w:rPr>
          <w:i/>
          <w:color w:val="2563EB"/>
          <w:sz w:val="20"/>
        </w:rPr>
        <w:t>— Head of Platform Strategy, Major Australian Retail Bank</w:t>
      </w:r>
    </w:p>
    <w:p>
      <w:pPr>
        <w:spacing w:before="120" w:after="120"/>
      </w:pPr>
      <w:r>
        <w:t>────────────────────────────────────────────────────────────</w:t>
      </w:r>
    </w:p>
    <w:p>
      <w:pPr>
        <w:pStyle w:val="Heading2"/>
        <w:spacing w:before="280" w:after="80"/>
      </w:pPr>
      <w:r>
        <w:rPr>
          <w:b/>
          <w:color w:val="1E3A8A"/>
          <w:sz w:val="32"/>
        </w:rPr>
        <w:t>Three Structural Failures in the Traditional Approach</w:t>
      </w:r>
    </w:p>
    <w:p>
      <w:pPr>
        <w:spacing w:after="80"/>
      </w:pPr>
      <w:r>
        <w:rPr>
          <w:sz w:val="20"/>
        </w:rPr>
        <w:t>The workshop-based baseline model has three compounding failures that no amount of process improvement will fix. They are structural — built into the method itself.</w:t>
      </w:r>
    </w:p>
    <w:p>
      <w:pPr>
        <w:spacing w:before="200" w:after="60"/>
      </w:pPr>
      <w:r>
        <w:rPr>
          <w:b/>
          <w:color w:val="2563EB"/>
          <w:sz w:val="26"/>
        </w:rPr>
        <w:t>Failure One: Speed Makes Everything Stale</w:t>
      </w:r>
    </w:p>
    <w:p>
      <w:pPr>
        <w:spacing w:after="80"/>
      </w:pPr>
      <w:r>
        <w:rPr>
          <w:sz w:val="20"/>
        </w:rPr>
        <w:t>The core paradox of manual value stream mapping is that by the time the analysis is complete, it no longer describes reality. A six-month baseline programme produces a six-month-old picture of a system that has been deployed to dozens of times since the workshops began. Features have shipped. Integrations have changed. The bottlenecks the workshop captured may have been resolved; new ones may have appeared.</w:t>
      </w:r>
    </w:p>
    <w:p>
      <w:pPr>
        <w:spacing w:after="80"/>
      </w:pPr>
      <w:r>
        <w:rPr>
          <w:sz w:val="20"/>
        </w:rPr>
        <w:t>Organisations respond to this by running more frequent workshops — which simply compounds the cost. The problem is not cadence. The problem is that workshops are the wrong instrument for measuring live systems.</w:t>
      </w:r>
    </w:p>
    <w:p>
      <w:pPr>
        <w:spacing w:after="80"/>
      </w:pPr>
      <w:r>
        <w:rPr>
          <w:sz w:val="20"/>
        </w:rPr>
      </w:r>
      <w:r>
        <w:rPr>
          <w:b/>
          <w:sz w:val="20"/>
        </w:rPr>
        <w:t>The data:</w:t>
      </w:r>
      <w:r>
        <w:rPr>
          <w:sz w:val="20"/>
        </w:rPr>
        <w:t xml:space="preserve"> In a recent analysis of forty-two digital products at a top-15 Australian bank, manual workshop outputs were compared against Jira-measured cycle times extracted from 94,000 changelog events. The manual assessments had </w:t>
      </w:r>
      <w:r>
        <w:rPr>
          <w:b/>
          <w:sz w:val="20"/>
        </w:rPr>
        <w:t>underestimated wait times by an average of 340%</w:t>
      </w:r>
      <w:r>
        <w:rPr>
          <w:sz w:val="20"/>
        </w:rPr>
        <w:t xml:space="preserve"> across twenty-two known bottleneck steps — not because the assessors were incompetent, but because human recall systematically underestimates waiting. People remember working; they forget the queues.</w:t>
      </w:r>
    </w:p>
    <w:p>
      <w:pPr>
        <w:spacing w:before="200" w:after="60"/>
      </w:pPr>
      <w:r>
        <w:rPr>
          <w:b/>
          <w:color w:val="2563EB"/>
          <w:sz w:val="26"/>
        </w:rPr>
        <w:t>Failure Two: Opinions Are Not Evidence</w:t>
      </w:r>
    </w:p>
    <w:p>
      <w:pPr>
        <w:spacing w:after="80"/>
      </w:pPr>
      <w:r>
        <w:rPr>
          <w:sz w:val="20"/>
        </w:rPr>
        <w:t>When an analyst writes "4 hours process time" for a loan document review step, that number comes from asking someone how long it takes. The answer comes from that person's best recollection, adjusted for optimism, professional pride, and the implicit desire not to be seen as a bottleneck.</w:t>
      </w:r>
    </w:p>
    <w:p>
      <w:pPr>
        <w:spacing w:after="80"/>
      </w:pPr>
      <w:r>
        <w:rPr>
          <w:sz w:val="20"/>
        </w:rPr>
        <w:t xml:space="preserve">Meanwhile, sitting in the Jira instance are </w:t>
      </w:r>
      <w:r>
        <w:rPr>
          <w:b/>
          <w:sz w:val="20"/>
        </w:rPr>
        <w:t>847 loan application issues</w:t>
      </w:r>
      <w:r>
        <w:rPr>
          <w:sz w:val="20"/>
        </w:rPr>
        <w:t xml:space="preserve"> with complete changelog histories — every status transition timestamped to the minute. The real median wait time for customer document return is </w:t>
      </w:r>
      <w:r>
        <w:rPr>
          <w:b/>
          <w:sz w:val="20"/>
        </w:rPr>
        <w:t>4.2 days, not 4 hours.</w:t>
      </w:r>
      <w:r>
        <w:rPr>
          <w:sz w:val="20"/>
        </w:rPr>
        <w:t xml:space="preserve"> That is a 25-fold difference. It changes every prioritisation decision downstream.</w:t>
      </w:r>
    </w:p>
    <w:p>
      <w:pPr>
        <w:spacing w:after="80"/>
      </w:pPr>
      <w:r>
        <w:rPr>
          <w:sz w:val="20"/>
        </w:rPr>
        <w:t>The data was always there. No one had connected the analysis to it.</w:t>
      </w:r>
    </w:p>
    <w:p>
      <w:pPr>
        <w:spacing w:after="80"/>
      </w:pPr>
      <w:r>
        <w:rPr>
          <w:sz w:val="20"/>
        </w:rPr>
        <w:t>This disconnect is universal. Code repositories contain embedded SLA constants, timeout configurations, and cron schedules — machine-readable evidence of how systems are designed to perform. Process event logs from ITSM and origination systems contain the empirical record of how they actually perform. These sources sit untouched while consultants conduct interviews.</w:t>
      </w:r>
    </w:p>
    <w:p>
      <w:pPr>
        <w:spacing w:before="200" w:after="60"/>
      </w:pPr>
      <w:r>
        <w:rPr>
          <w:b/>
          <w:color w:val="2563EB"/>
          <w:sz w:val="26"/>
        </w:rPr>
        <w:t>Failure Three: No Organisation Knows Where It Stands</w:t>
      </w:r>
    </w:p>
    <w:p>
      <w:pPr>
        <w:spacing w:after="80"/>
      </w:pPr>
      <w:r>
        <w:rPr>
          <w:sz w:val="20"/>
        </w:rPr>
        <w:t>Imagine making a $12 million investment to improve a process that is already operating at industry benchmark performance. The investment would generate no competitive return, would consume capital that could have gone to genuine bottlenecks, and would be undetectable as waste until the results failed to materialise two years later.</w:t>
      </w:r>
    </w:p>
    <w:p>
      <w:pPr>
        <w:spacing w:after="80"/>
      </w:pPr>
      <w:r>
        <w:rPr>
          <w:sz w:val="20"/>
        </w:rPr>
        <w:t>This happens routinely — because organisations have no reliable way to benchmark their flow efficiency against industry peers. Published benchmarking studies cost $50–200K and are eighteen months stale by publication. Consultant benchmarks are proprietary and not independently verifiable. Most organisations have no external reference point at all.</w:t>
      </w:r>
    </w:p>
    <w:p>
      <w:pPr>
        <w:spacing w:after="80"/>
      </w:pPr>
      <w:r>
        <w:rPr>
          <w:sz w:val="20"/>
        </w:rPr>
        <w:t>The result: transformation investment is prioritised by executive advocacy rather than flow impact evidence. The loudest voice in the room, not the worst bottleneck in the data, determines where the money goes.</w:t>
      </w:r>
    </w:p>
    <w:p>
      <w:pPr>
        <w:spacing w:before="120" w:after="120"/>
      </w:pPr>
      <w:r>
        <w:t>────────────────────────────────────────────────────────────</w:t>
      </w:r>
    </w:p>
    <w:p>
      <w:pPr>
        <w:pStyle w:val="Heading2"/>
        <w:spacing w:before="280" w:after="80"/>
      </w:pPr>
      <w:r>
        <w:rPr>
          <w:b/>
          <w:color w:val="1E3A8A"/>
          <w:sz w:val="32"/>
        </w:rPr>
        <w:t>The Insight That Changes Everything</w:t>
      </w:r>
    </w:p>
    <w:p>
      <w:pPr>
        <w:spacing w:after="80"/>
      </w:pPr>
      <w:r>
        <w:rPr>
          <w:sz w:val="20"/>
        </w:rPr>
        <w:t>The data needed to make transformation investment decisions correctly already exists inside every enterprise. It lives in Jira changelogs, Git repositories, architecture documents, process event logs, and the collective intelligence embedded in years of case studies and benchmark reports. It has never been systematically connected to transformation analysis — not because it is hard to access, but because no tool was built to do it.</w:t>
      </w:r>
    </w:p>
    <w:p>
      <w:pPr>
        <w:spacing w:after="80"/>
      </w:pPr>
      <w:r>
        <w:rPr>
          <w:sz w:val="20"/>
        </w:rPr>
      </w:r>
      <w:r>
        <w:rPr>
          <w:b/>
          <w:sz w:val="20"/>
        </w:rPr>
        <w:t>TransformHub is that tool.</w:t>
      </w:r>
      <w:r>
        <w:rPr>
          <w:sz w:val="20"/>
        </w:rPr>
      </w:r>
    </w:p>
    <w:p>
      <w:pPr>
        <w:spacing w:after="80"/>
      </w:pPr>
      <w:r>
        <w:rPr>
          <w:sz w:val="20"/>
        </w:rPr>
        <w:t>It is not an AI that generates transformation advice. It is a data pipeline that reads your systems, connects your evidence, and produces analysis that is grounded in what is actually happening — not what people remember happening six months ago.</w:t>
      </w:r>
    </w:p>
    <w:p>
      <w:pPr>
        <w:spacing w:after="80"/>
      </w:pPr>
      <w:r>
        <w:rPr>
          <w:sz w:val="20"/>
        </w:rPr>
        <w:t>The platform ingests four classes of evidence, each independently verifiable:</w:t>
      </w:r>
    </w:p>
    <w:p>
      <w:pPr>
        <w:spacing w:after="80"/>
      </w:pPr>
      <w:r>
        <w:rPr>
          <w:sz w:val="20"/>
        </w:rPr>
      </w:r>
      <w:r>
        <w:rPr>
          <w:b/>
          <w:sz w:val="20"/>
        </w:rPr>
        <w:t>Measured evidence from your delivery systems.</w:t>
      </w:r>
      <w:r>
        <w:rPr>
          <w:sz w:val="20"/>
        </w:rPr>
        <w:t xml:space="preserve"> Jira and Azure DevOps changelogs contain a complete, timestamped record of every issue status transition. TransformHub extracts per-status dwell times across every issue in your connected projects and computes actual process and wait times for each step in your value stream. These are not estimates. They are measurements, with confidence scores of 0.70–0.95 reflecting changelog completeness.</w:t>
      </w:r>
    </w:p>
    <w:p>
      <w:pPr>
        <w:spacing w:after="80"/>
      </w:pPr>
      <w:r>
        <w:rPr>
          <w:sz w:val="20"/>
        </w:rPr>
      </w:r>
      <w:r>
        <w:rPr>
          <w:b/>
          <w:sz w:val="20"/>
        </w:rPr>
        <w:t>Signals embedded in your code.</w:t>
      </w:r>
      <w:r>
        <w:rPr>
          <w:sz w:val="20"/>
        </w:rPr>
        <w:t xml:space="preserve"> Timeout constants, SLA annotations, retry configurations, and scheduled job intervals are design-time commitments about how systems are intended to perform. TransformHub extracts these from uploaded architecture documents and code repositories and maps them to value stream steps as corroborating evidence — with confidence of 0.60–0.80.</w:t>
      </w:r>
    </w:p>
    <w:p>
      <w:pPr>
        <w:spacing w:after="80"/>
      </w:pPr>
      <w:r>
        <w:rPr>
          <w:sz w:val="20"/>
        </w:rPr>
      </w:r>
      <w:r>
        <w:rPr>
          <w:b/>
          <w:sz w:val="20"/>
        </w:rPr>
        <w:t>Your own institutional knowledge.</w:t>
      </w:r>
      <w:r>
        <w:rPr>
          <w:sz w:val="20"/>
        </w:rPr>
        <w:t xml:space="preserve"> Architecture standards, transformation case studies, benchmark reports, and prior agent outputs are uploaded to a knowledge base and embedded into a production-grade RAG pipeline. Every agent execution retrieves the twenty-five most contextually relevant document chunks — so analysis is grounded in your industry context, not generic LLM priors.</w:t>
      </w:r>
    </w:p>
    <w:p>
      <w:pPr>
        <w:spacing w:after="80"/>
      </w:pPr>
      <w:r>
        <w:rPr>
          <w:sz w:val="20"/>
        </w:rPr>
      </w:r>
      <w:r>
        <w:rPr>
          <w:b/>
          <w:sz w:val="20"/>
        </w:rPr>
        <w:t>Process mining from operational logs.</w:t>
      </w:r>
      <w:r>
        <w:rPr>
          <w:sz w:val="20"/>
        </w:rPr>
        <w:t xml:space="preserve"> Transaction event logs from origination systems, loan platforms, or ITSM tools can be uploaded in CSV format. TransformHub discovers actual process flows — per-activity cycle times, transition frequencies, bottleneck rankings by wait × frequency — providing a third independent evidence source alongside Jira and code signals.</w:t>
      </w:r>
    </w:p>
    <w:p>
      <w:pPr>
        <w:spacing w:after="80"/>
      </w:pPr>
      <w:r>
        <w:rPr>
          <w:sz w:val="20"/>
        </w:rPr>
        <w:t xml:space="preserve">When these four sources converge, the result is a value stream map where </w:t>
      </w:r>
      <w:r>
        <w:rPr>
          <w:b/>
          <w:sz w:val="20"/>
        </w:rPr>
        <w:t>every timing estimate has a traceable lineage</w:t>
      </w:r>
      <w:r>
        <w:rPr>
          <w:sz w:val="20"/>
        </w:rPr>
        <w:t xml:space="preserve"> back to a data source. Analysts see provenance badges on every step: </w:t>
      </w:r>
      <w:r>
        <w:rPr>
          <w:rFonts w:ascii="Courier New" w:hAnsi="Courier New"/>
          <w:color w:val="1D4ED8"/>
          <w:sz w:val="18"/>
        </w:rPr>
        <w:t>jira_measured</w:t>
      </w:r>
      <w:r>
        <w:rPr>
          <w:sz w:val="20"/>
        </w:rPr>
        <w:t xml:space="preserve">, </w:t>
      </w:r>
      <w:r>
        <w:rPr>
          <w:rFonts w:ascii="Courier New" w:hAnsi="Courier New"/>
          <w:color w:val="1D4ED8"/>
          <w:sz w:val="18"/>
        </w:rPr>
        <w:t>code_signals</w:t>
      </w:r>
      <w:r>
        <w:rPr>
          <w:sz w:val="20"/>
        </w:rPr>
        <w:t xml:space="preserve">, </w:t>
      </w:r>
      <w:r>
        <w:rPr>
          <w:rFonts w:ascii="Courier New" w:hAnsi="Courier New"/>
          <w:color w:val="1D4ED8"/>
          <w:sz w:val="18"/>
        </w:rPr>
        <w:t>manual_override</w:t>
      </w:r>
      <w:r>
        <w:rPr>
          <w:sz w:val="20"/>
        </w:rPr>
        <w:t xml:space="preserve">, or </w:t>
      </w:r>
      <w:r>
        <w:rPr>
          <w:rFonts w:ascii="Courier New" w:hAnsi="Courier New"/>
          <w:color w:val="1D4ED8"/>
          <w:sz w:val="18"/>
        </w:rPr>
        <w:t>llm_estimated</w:t>
      </w:r>
      <w:r>
        <w:rPr>
          <w:sz w:val="20"/>
        </w:rPr>
        <w:t>. They know immediately which numbers are measured and which are estimated. They can apply manual overrides where domain expertise supersedes data, with every change logged to a tamper-evident audit trail.</w:t>
      </w:r>
    </w:p>
    <w:p>
      <w:pPr>
        <w:spacing w:before="120" w:after="120"/>
      </w:pPr>
      <w:r>
        <w:t>────────────────────────────────────────────────────────────</w:t>
      </w:r>
    </w:p>
    <w:p>
      <w:pPr>
        <w:pStyle w:val="Heading2"/>
        <w:spacing w:before="280" w:after="80"/>
      </w:pPr>
      <w:r>
        <w:rPr>
          <w:b/>
          <w:color w:val="1E3A8A"/>
          <w:sz w:val="32"/>
        </w:rPr>
        <w:t>What This Looks Like in Practice</w:t>
      </w:r>
    </w:p>
    <w:p>
      <w:pPr>
        <w:spacing w:after="80"/>
      </w:pPr>
      <w:r>
        <w:rPr>
          <w:sz w:val="20"/>
        </w:rPr>
        <w:t>The best illustration of what changes is not a product demo. It is what happened when a top-15 Australian retail bank deployed TransformHub across forty-two digital products.</w:t>
      </w:r>
    </w:p>
    <w:p>
      <w:pPr>
        <w:spacing w:after="80"/>
      </w:pPr>
      <w:r>
        <w:rPr>
          <w:sz w:val="20"/>
        </w:rPr>
        <w:t>The bank's Digital Transformation Office had spent six months and $1.6 million on manual value stream workshops. At that pace, completing baselines for their thirty-four remaining products would take a further forty-two to sixty-eight weeks and cost an estimated $2.8 million more — before any transformation work began.</w:t>
      </w:r>
    </w:p>
    <w:p>
      <w:pPr>
        <w:spacing w:after="80"/>
      </w:pPr>
      <w:r>
        <w:rPr>
          <w:sz w:val="20"/>
        </w:rPr>
        <w:t>They deployed TransformHub. Here is what happened over the following seventeen days.</w:t>
      </w:r>
    </w:p>
    <w:p>
      <w:pPr>
        <w:spacing w:after="80"/>
      </w:pPr>
      <w:r>
        <w:rPr>
          <w:sz w:val="20"/>
        </w:rPr>
      </w:r>
      <w:r>
        <w:rPr>
          <w:b/>
          <w:sz w:val="20"/>
        </w:rPr>
        <w:t>Days 1–4: Foundation.</w:t>
      </w:r>
      <w:r>
        <w:rPr>
          <w:sz w:val="20"/>
        </w:rPr>
        <w:t xml:space="preserve"> The platform was provisioned on Azure Kubernetes Service and connected to Azure Entra ID — all 8,400 employees automatically onboarded via domain provisioning. Three hundred and forty documents were uploaded across eight categories: architecture standards, current-state system maps, VSM benchmarks, banking transformation case studies, and competitor analysis. The Jira instance was connected via API token; four project keys configured.</w:t>
      </w:r>
    </w:p>
    <w:p>
      <w:pPr>
        <w:spacing w:after="80"/>
      </w:pPr>
      <w:r>
        <w:rPr>
          <w:sz w:val="20"/>
        </w:rPr>
      </w:r>
      <w:r>
        <w:rPr>
          <w:b/>
          <w:sz w:val="20"/>
        </w:rPr>
        <w:t>Days 1–4 (parallel): Data extraction.</w:t>
      </w:r>
      <w:r>
        <w:rPr>
          <w:sz w:val="20"/>
        </w:rPr>
        <w:t xml:space="preserve"> The cycle time extraction job processed 18,437 Jira issues and 94,000+ changelog events. Per-status dwell times were computed for every issue, mapped to process and wait time categories using a configurable status taxonomy. 2,847 value stream steps were populated with Jira-measured timing data.</w:t>
      </w:r>
    </w:p>
    <w:p>
      <w:pPr>
        <w:spacing w:after="80"/>
      </w:pPr>
      <w:r>
        <w:rPr>
          <w:sz w:val="20"/>
        </w:rPr>
      </w:r>
      <w:r>
        <w:rPr>
          <w:b/>
          <w:sz w:val="20"/>
        </w:rPr>
        <w:t>Days 3–9: Discovery.</w:t>
      </w:r>
      <w:r>
        <w:rPr>
          <w:sz w:val="20"/>
        </w:rPr>
        <w:t xml:space="preserve"> The Discovery agent ran across all four business segments, each run taking 8–14 minutes. It produced 187 L1 digital capabilities, 641 sub-capabilities, and 2,847 functionalities across 42 products. Critically, it identified </w:t>
      </w:r>
      <w:r>
        <w:rPr>
          <w:b/>
          <w:sz w:val="20"/>
        </w:rPr>
        <w:t>31 production functionalities with no documentation</w:t>
      </w:r>
      <w:r>
        <w:rPr>
          <w:sz w:val="20"/>
        </w:rPr>
        <w:t xml:space="preserve"> and flagged </w:t>
      </w:r>
      <w:r>
        <w:rPr>
          <w:b/>
          <w:sz w:val="20"/>
        </w:rPr>
        <w:t>23 Confluence-documented functionalities as inactive</w:t>
      </w:r>
      <w:r>
        <w:rPr>
          <w:sz w:val="20"/>
        </w:rPr>
        <w:t xml:space="preserve"> — resolving a taxonomy conflict that had blocked the programme for six weeks.</w:t>
      </w:r>
    </w:p>
    <w:p>
      <w:pPr>
        <w:spacing w:after="80"/>
      </w:pPr>
      <w:r>
        <w:rPr>
          <w:sz w:val="20"/>
        </w:rPr>
      </w:r>
      <w:r>
        <w:rPr>
          <w:b/>
          <w:sz w:val="20"/>
        </w:rPr>
        <w:t>Days 7–13: Value stream mapping.</w:t>
      </w:r>
      <w:r>
        <w:rPr>
          <w:sz w:val="20"/>
        </w:rPr>
        <w:t xml:space="preserve"> Lean VSM runs completed for all 42 products. The portfolio average flow efficiency was </w:t>
      </w:r>
      <w:r>
        <w:rPr>
          <w:b/>
          <w:sz w:val="20"/>
        </w:rPr>
        <w:t>18.3%</w:t>
      </w:r>
      <w:r>
        <w:rPr>
          <w:sz w:val="20"/>
        </w:rPr>
        <w:t>, against an industry p50 of 23.4% — a 5.1 percentage-point gap worth quantifying precisely for investment prioritisation.</w:t>
      </w:r>
    </w:p>
    <w:p>
      <w:pPr>
        <w:spacing w:after="80"/>
      </w:pPr>
      <w:r>
        <w:rPr>
          <w:sz w:val="20"/>
        </w:rPr>
        <w:t>Sixty-one steps across twenty-three products had flow efficiency below 10%. Of these:</w:t>
      </w:r>
    </w:p>
    <w:p>
      <w:pPr>
        <w:pStyle w:val="ListBullet"/>
        <w:ind w:left="432"/>
      </w:pPr>
      <w:r>
        <w:rPr>
          <w:sz w:val="20"/>
        </w:rPr>
      </w:r>
      <w:r>
        <w:rPr>
          <w:b/>
          <w:sz w:val="20"/>
        </w:rPr>
        <w:t>14 were previously unknown</w:t>
      </w:r>
      <w:r>
        <w:rPr>
          <w:sz w:val="20"/>
        </w:rPr>
        <w:t xml:space="preserve"> — not on any transformation radar</w:t>
      </w:r>
    </w:p>
    <w:p>
      <w:pPr>
        <w:pStyle w:val="ListBullet"/>
        <w:ind w:left="432"/>
      </w:pPr>
      <w:r>
        <w:rPr>
          <w:sz w:val="20"/>
        </w:rPr>
      </w:r>
      <w:r>
        <w:rPr>
          <w:b/>
          <w:sz w:val="20"/>
        </w:rPr>
        <w:t>22 were known but their wait times had been underestimated by an average of 340%</w:t>
      </w:r>
      <w:r>
        <w:rPr>
          <w:sz w:val="20"/>
        </w:rPr>
      </w:r>
    </w:p>
    <w:p>
      <w:pPr>
        <w:pStyle w:val="ListBullet"/>
        <w:ind w:left="432"/>
      </w:pPr>
      <w:r>
        <w:rPr>
          <w:sz w:val="20"/>
        </w:rPr>
      </w:r>
      <w:r>
        <w:rPr>
          <w:b/>
          <w:sz w:val="20"/>
        </w:rPr>
        <w:t>25 were consistent with prior assessments</w:t>
      </w:r>
      <w:r>
        <w:rPr>
          <w:sz w:val="20"/>
        </w:rPr>
      </w:r>
    </w:p>
    <w:p>
      <w:pPr>
        <w:spacing w:after="80"/>
      </w:pPr>
      <w:r>
        <w:rPr>
          <w:sz w:val="20"/>
        </w:rPr>
        <w:t xml:space="preserve">The single most severe bottleneck — SME Loan Document Collection, 2.5% flow efficiency, 94.7-hour average wait — had never appeared in any prior workshop. It was invisible to manual assessment because its bottleneck was the customer, not the bank's staff. The Jira data revealed it through 847 SME loan applications showing a median 4.2-day customer document return gap. This step had </w:t>
      </w:r>
      <w:r>
        <w:rPr>
          <w:b/>
          <w:sz w:val="20"/>
        </w:rPr>
        <w:t>zero dollars of transformation investment allocated</w:t>
      </w:r>
      <w:r>
        <w:rPr>
          <w:sz w:val="20"/>
        </w:rPr>
        <w:t xml:space="preserve"> to it.</w:t>
      </w:r>
    </w:p>
    <w:p>
      <w:pPr>
        <w:spacing w:after="80"/>
      </w:pPr>
      <w:r>
        <w:rPr>
          <w:sz w:val="20"/>
        </w:rPr>
      </w:r>
      <w:r>
        <w:rPr>
          <w:b/>
          <w:sz w:val="20"/>
        </w:rPr>
        <w:t>Days 12–17: Future state and investment case.</w:t>
      </w:r>
      <w:r>
        <w:rPr>
          <w:sz w:val="20"/>
        </w:rPr>
        <w:t xml:space="preserve"> The Future State Vision agent projected three improvement scenarios for each capability, calibrated against eleven comparable banking transformation case studies in the knowledge base. Benchmark-grounded projections for the SME Document Collection bottleneck showed a projected </w:t>
      </w:r>
      <w:r>
        <w:rPr>
          <w:b/>
          <w:sz w:val="20"/>
        </w:rPr>
        <w:t>6.2× ROI</w:t>
      </w:r>
      <w:r>
        <w:rPr>
          <w:sz w:val="20"/>
        </w:rPr>
        <w:t xml:space="preserve"> from a targeted digital document portal — a $2.1 million investment with $13 million+ in projected operational savings.</w:t>
      </w:r>
    </w:p>
    <w:p>
      <w:pPr>
        <w:spacing w:after="80"/>
      </w:pPr>
      <w:r>
        <w:rPr>
          <w:sz w:val="20"/>
        </w:rPr>
        <w:t>The investment reallocation that resulted:</w:t>
      </w:r>
    </w:p>
    <w:tbl>
      <w:tblPr>
        <w:tblStyle w:val="TableGrid"/>
        <w:tblW w:type="auto" w:w="0"/>
        <w:tblLook w:firstColumn="1" w:firstRow="1" w:lastColumn="0" w:lastRow="0" w:noHBand="0" w:noVBand="1" w:val="04A0"/>
      </w:tblPr>
      <w:tblGrid>
        <w:gridCol w:w="2196"/>
        <w:gridCol w:w="2196"/>
        <w:gridCol w:w="2196"/>
        <w:gridCol w:w="2196"/>
      </w:tblGrid>
      <w:tr>
        <w:tc>
          <w:tcPr>
            <w:tcW w:type="dxa" w:w="2196"/>
            <w:shd w:val="clear" w:color="auto" w:fill="1E3A8A"/>
          </w:tcPr>
          <w:p>
            <w:r/>
            <w:r>
              <w:rPr>
                <w:b/>
                <w:color w:val="FFFFFF"/>
                <w:sz w:val="18"/>
              </w:rPr>
              <w:t>Initiative</w:t>
            </w:r>
          </w:p>
        </w:tc>
        <w:tc>
          <w:tcPr>
            <w:tcW w:type="dxa" w:w="2196"/>
            <w:shd w:val="clear" w:color="auto" w:fill="1E3A8A"/>
          </w:tcPr>
          <w:p>
            <w:r/>
            <w:r>
              <w:rPr>
                <w:b/>
                <w:color w:val="FFFFFF"/>
                <w:sz w:val="18"/>
              </w:rPr>
              <w:t>Original Budget</w:t>
            </w:r>
          </w:p>
        </w:tc>
        <w:tc>
          <w:tcPr>
            <w:tcW w:type="dxa" w:w="2196"/>
            <w:shd w:val="clear" w:color="auto" w:fill="1E3A8A"/>
          </w:tcPr>
          <w:p>
            <w:r/>
            <w:r>
              <w:rPr>
                <w:b/>
                <w:color w:val="FFFFFF"/>
                <w:sz w:val="18"/>
              </w:rPr>
              <w:t>Revised Budget</w:t>
            </w:r>
          </w:p>
        </w:tc>
        <w:tc>
          <w:tcPr>
            <w:tcW w:type="dxa" w:w="2196"/>
            <w:shd w:val="clear" w:color="auto" w:fill="1E3A8A"/>
          </w:tcPr>
          <w:p>
            <w:r/>
            <w:r>
              <w:rPr>
                <w:b/>
                <w:color w:val="FFFFFF"/>
                <w:sz w:val="18"/>
              </w:rPr>
              <w:t>Evidence</w:t>
            </w:r>
          </w:p>
        </w:tc>
      </w:tr>
      <w:tr>
        <w:tc>
          <w:tcPr>
            <w:tcW w:type="dxa" w:w="2196"/>
          </w:tcPr>
          <w:p>
            <w:r>
              <w:rPr>
                <w:sz w:val="18"/>
              </w:rPr>
              <w:t>Payment Processing Automation</w:t>
            </w:r>
          </w:p>
        </w:tc>
        <w:tc>
          <w:tcPr>
            <w:tcW w:type="dxa" w:w="2196"/>
          </w:tcPr>
          <w:p>
            <w:r>
              <w:rPr>
                <w:sz w:val="18"/>
              </w:rPr>
              <w:t>$12.0M</w:t>
            </w:r>
          </w:p>
        </w:tc>
        <w:tc>
          <w:tcPr>
            <w:tcW w:type="dxa" w:w="2196"/>
          </w:tcPr>
          <w:p>
            <w:r>
              <w:rPr>
                <w:sz w:val="18"/>
              </w:rPr>
              <w:t>$3.6M</w:t>
            </w:r>
          </w:p>
        </w:tc>
        <w:tc>
          <w:tcPr>
            <w:tcW w:type="dxa" w:w="2196"/>
          </w:tcPr>
          <w:p>
            <w:r>
              <w:rPr>
                <w:sz w:val="18"/>
              </w:rPr>
              <w:t>Operating at industry parity — reduce scope</w:t>
            </w:r>
          </w:p>
        </w:tc>
      </w:tr>
      <w:tr>
        <w:tc>
          <w:tcPr>
            <w:tcW w:type="dxa" w:w="2196"/>
            <w:shd w:val="clear" w:color="auto" w:fill="EFF6FF"/>
          </w:tcPr>
          <w:p>
            <w:r>
              <w:rPr>
                <w:sz w:val="18"/>
              </w:rPr>
              <w:t>KYC Manual Review AI</w:t>
            </w:r>
          </w:p>
        </w:tc>
        <w:tc>
          <w:tcPr>
            <w:tcW w:type="dxa" w:w="2196"/>
            <w:shd w:val="clear" w:color="auto" w:fill="EFF6FF"/>
          </w:tcPr>
          <w:p>
            <w:r>
              <w:rPr>
                <w:sz w:val="18"/>
              </w:rPr>
              <w:t>$9.0M</w:t>
            </w:r>
          </w:p>
        </w:tc>
        <w:tc>
          <w:tcPr>
            <w:tcW w:type="dxa" w:w="2196"/>
            <w:shd w:val="clear" w:color="auto" w:fill="EFF6FF"/>
          </w:tcPr>
          <w:p>
            <w:r>
              <w:rPr>
                <w:sz w:val="18"/>
              </w:rPr>
              <w:t>$11.2M</w:t>
            </w:r>
          </w:p>
        </w:tc>
        <w:tc>
          <w:tcPr>
            <w:tcW w:type="dxa" w:w="2196"/>
            <w:shd w:val="clear" w:color="auto" w:fill="EFF6FF"/>
          </w:tcPr>
          <w:p>
            <w:r>
              <w:rPr>
                <w:sz w:val="18"/>
              </w:rPr>
              <w:t>Critical bottleneck; evidence supported expansion</w:t>
            </w:r>
          </w:p>
        </w:tc>
      </w:tr>
      <w:tr>
        <w:tc>
          <w:tcPr>
            <w:tcW w:type="dxa" w:w="2196"/>
          </w:tcPr>
          <w:p>
            <w:r>
              <w:rPr>
                <w:sz w:val="18"/>
              </w:rPr>
              <w:t>Document Processing AI Layer</w:t>
            </w:r>
          </w:p>
        </w:tc>
        <w:tc>
          <w:tcPr>
            <w:tcW w:type="dxa" w:w="2196"/>
          </w:tcPr>
          <w:p>
            <w:r>
              <w:rPr>
                <w:sz w:val="18"/>
              </w:rPr>
              <w:t>$7.0M</w:t>
            </w:r>
          </w:p>
        </w:tc>
        <w:tc>
          <w:tcPr>
            <w:tcW w:type="dxa" w:w="2196"/>
          </w:tcPr>
          <w:p>
            <w:r>
              <w:rPr>
                <w:sz w:val="18"/>
              </w:rPr>
              <w:t>$2.1M</w:t>
            </w:r>
          </w:p>
        </w:tc>
        <w:tc>
          <w:tcPr>
            <w:tcW w:type="dxa" w:w="2196"/>
          </w:tcPr>
          <w:p>
            <w:r>
              <w:rPr>
                <w:sz w:val="18"/>
              </w:rPr>
              <w:t>Reallocated to higher-ROI SME portal</w:t>
            </w:r>
          </w:p>
        </w:tc>
      </w:tr>
      <w:tr>
        <w:tc>
          <w:tcPr>
            <w:tcW w:type="dxa" w:w="2196"/>
            <w:shd w:val="clear" w:color="auto" w:fill="EFF6FF"/>
          </w:tcPr>
          <w:p>
            <w:r>
              <w:rPr>
                <w:sz w:val="18"/>
              </w:rPr>
              <w:t>SME Document Portal (new)</w:t>
            </w:r>
          </w:p>
        </w:tc>
        <w:tc>
          <w:tcPr>
            <w:tcW w:type="dxa" w:w="2196"/>
            <w:shd w:val="clear" w:color="auto" w:fill="EFF6FF"/>
          </w:tcPr>
          <w:p>
            <w:r>
              <w:rPr>
                <w:sz w:val="18"/>
              </w:rPr>
              <w:t>$0</w:t>
            </w:r>
          </w:p>
        </w:tc>
        <w:tc>
          <w:tcPr>
            <w:tcW w:type="dxa" w:w="2196"/>
            <w:shd w:val="clear" w:color="auto" w:fill="EFF6FF"/>
          </w:tcPr>
          <w:p>
            <w:r>
              <w:rPr>
                <w:sz w:val="18"/>
              </w:rPr>
              <w:t>$8.4M</w:t>
            </w:r>
          </w:p>
        </w:tc>
        <w:tc>
          <w:tcPr>
            <w:tcW w:type="dxa" w:w="2196"/>
            <w:shd w:val="clear" w:color="auto" w:fill="EFF6FF"/>
          </w:tcPr>
          <w:p>
            <w:r>
              <w:rPr>
                <w:sz w:val="18"/>
              </w:rPr>
              <w:t>2.5% flow efficiency; 6.2× ROI; previously invisible</w:t>
            </w:r>
          </w:p>
        </w:tc>
      </w:tr>
      <w:tr>
        <w:tc>
          <w:tcPr>
            <w:tcW w:type="dxa" w:w="2196"/>
          </w:tcPr>
          <w:p>
            <w:r>
              <w:rPr>
                <w:sz w:val="18"/>
              </w:rPr>
              <w:t>Wealth Adviser Routing AI (new)</w:t>
            </w:r>
          </w:p>
        </w:tc>
        <w:tc>
          <w:tcPr>
            <w:tcW w:type="dxa" w:w="2196"/>
          </w:tcPr>
          <w:p>
            <w:r>
              <w:rPr>
                <w:sz w:val="18"/>
              </w:rPr>
              <w:t>$0</w:t>
            </w:r>
          </w:p>
        </w:tc>
        <w:tc>
          <w:tcPr>
            <w:tcW w:type="dxa" w:w="2196"/>
          </w:tcPr>
          <w:p>
            <w:r>
              <w:rPr>
                <w:sz w:val="18"/>
              </w:rPr>
              <w:t>$4.7M</w:t>
            </w:r>
          </w:p>
        </w:tc>
        <w:tc>
          <w:tcPr>
            <w:tcW w:type="dxa" w:w="2196"/>
          </w:tcPr>
          <w:p>
            <w:r>
              <w:rPr>
                <w:sz w:val="18"/>
              </w:rPr>
              <w:t>2.1% flow efficiency; newly discovered</w:t>
            </w:r>
          </w:p>
        </w:tc>
      </w:tr>
      <w:tr>
        <w:tc>
          <w:tcPr>
            <w:tcW w:type="dxa" w:w="2196"/>
            <w:shd w:val="clear" w:color="auto" w:fill="EFF6FF"/>
          </w:tcPr>
          <w:p>
            <w:r>
              <w:rPr>
                <w:sz w:val="18"/>
              </w:rPr>
              <w:t>Total</w:t>
            </w:r>
          </w:p>
        </w:tc>
        <w:tc>
          <w:tcPr>
            <w:tcW w:type="dxa" w:w="2196"/>
            <w:shd w:val="clear" w:color="auto" w:fill="EFF6FF"/>
          </w:tcPr>
          <w:p>
            <w:r>
              <w:rPr>
                <w:sz w:val="18"/>
              </w:rPr>
              <w:t>$38.0M</w:t>
            </w:r>
          </w:p>
        </w:tc>
        <w:tc>
          <w:tcPr>
            <w:tcW w:type="dxa" w:w="2196"/>
            <w:shd w:val="clear" w:color="auto" w:fill="EFF6FF"/>
          </w:tcPr>
          <w:p>
            <w:r>
              <w:rPr>
                <w:sz w:val="18"/>
              </w:rPr>
              <w:t>$38.0M</w:t>
            </w:r>
          </w:p>
        </w:tc>
        <w:tc>
          <w:tcPr>
            <w:tcW w:type="dxa" w:w="2196"/>
            <w:shd w:val="clear" w:color="auto" w:fill="EFF6FF"/>
          </w:tcPr>
          <w:p>
            <w:r>
              <w:rPr>
                <w:sz w:val="18"/>
              </w:rPr>
            </w:r>
          </w:p>
        </w:tc>
      </w:tr>
    </w:tbl>
    <w:p/>
    <w:p>
      <w:pPr>
        <w:spacing w:after="80"/>
      </w:pPr>
      <w:r>
        <w:rPr>
          <w:sz w:val="20"/>
        </w:rPr>
        <w:t xml:space="preserve">The board investment case was approved in its </w:t>
      </w:r>
      <w:r>
        <w:rPr>
          <w:b/>
          <w:sz w:val="20"/>
        </w:rPr>
        <w:t>first review</w:t>
      </w:r>
      <w:r>
        <w:rPr>
          <w:sz w:val="20"/>
        </w:rPr>
        <w:t>. Previous iterations of this document — built from workshop outputs — had required three review cycles over four months.</w:t>
      </w:r>
    </w:p>
    <w:p>
      <w:pPr>
        <w:spacing w:after="80"/>
      </w:pPr>
      <w:r>
        <w:rPr>
          <w:sz w:val="20"/>
        </w:rPr>
        <w:t>The CFO's comment at approval: *"Every number in our board submission traces back to a Jira ticket or an uploaded benchmark document. The APRA reviewer specifically commented on the quality of our investment evidence."*</w:t>
      </w:r>
    </w:p>
    <w:p>
      <w:pPr>
        <w:spacing w:before="120" w:after="120"/>
      </w:pPr>
      <w:r>
        <w:t>────────────────────────────────────────────────────────────</w:t>
      </w:r>
    </w:p>
    <w:p>
      <w:pPr>
        <w:pStyle w:val="Heading2"/>
        <w:spacing w:before="280" w:after="80"/>
      </w:pPr>
      <w:r>
        <w:rPr>
          <w:b/>
          <w:color w:val="1E3A8A"/>
          <w:sz w:val="32"/>
        </w:rPr>
        <w:t>The Compounding Advantage</w:t>
      </w:r>
    </w:p>
    <w:p>
      <w:pPr>
        <w:spacing w:after="80"/>
      </w:pPr>
      <w:r>
        <w:rPr>
          <w:sz w:val="20"/>
        </w:rPr>
        <w:t>A consulting engagement produces analysis once. The deliverable depreciates from the moment it is printed.</w:t>
      </w:r>
    </w:p>
    <w:p>
      <w:pPr>
        <w:spacing w:after="80"/>
      </w:pPr>
      <w:r>
        <w:rPr>
          <w:sz w:val="20"/>
        </w:rPr>
        <w:t>TransformHub creates an intelligence layer that improves with every use.</w:t>
      </w:r>
    </w:p>
    <w:p>
      <w:pPr>
        <w:spacing w:after="80"/>
      </w:pPr>
      <w:r>
        <w:rPr>
          <w:sz w:val="20"/>
        </w:rPr>
        <w:t>Each agent execution auto-saves its output as a context document in the AGENT_OUTPUT category. The next agent that runs — for any product, any segment — retrieves those outputs as grounding context. Discovery outputs inform VSM. VSM outputs calibrate Future State projections. Risk assessments reference architecture analysis. The platform develops an institutional memory that consultants cannot replicate and that organisations cannot lose when teams turn over.</w:t>
      </w:r>
    </w:p>
    <w:p>
      <w:pPr>
        <w:spacing w:after="80"/>
      </w:pPr>
      <w:r>
        <w:rPr>
          <w:sz w:val="20"/>
        </w:rPr>
        <w:t>Cross-organisation benchmarks compound similarly. As more organisations contribute flow efficiency data, the p25/p50/p75 reference bands sharpen. An organisation that deploys TransformHub today benefits from every data point contributed by every organisation before it. An organisation that waits a year deploys into a richer benchmark pool — but their competitors are already using it.</w:t>
      </w:r>
    </w:p>
    <w:p>
      <w:pPr>
        <w:spacing w:after="80"/>
      </w:pPr>
      <w:r>
        <w:rPr>
          <w:sz w:val="20"/>
        </w:rPr>
        <w:t>The cycle time extraction runs continuously. Every sprint produces new Jira data. Every deployment updates the code signals. The value stream map is not a six-month-old photograph. It is a living measurement.</w:t>
      </w:r>
    </w:p>
    <w:p>
      <w:pPr>
        <w:spacing w:before="120" w:after="120"/>
      </w:pPr>
      <w:r>
        <w:t>────────────────────────────────────────────────────────────</w:t>
      </w:r>
    </w:p>
    <w:p>
      <w:pPr>
        <w:pStyle w:val="Heading2"/>
        <w:spacing w:before="280" w:after="80"/>
      </w:pPr>
      <w:r>
        <w:rPr>
          <w:b/>
          <w:color w:val="1E3A8A"/>
          <w:sz w:val="32"/>
        </w:rPr>
        <w:t>The Accuracy Question</w:t>
      </w:r>
    </w:p>
    <w:p>
      <w:pPr>
        <w:spacing w:after="80"/>
      </w:pPr>
      <w:r>
        <w:rPr>
          <w:sz w:val="20"/>
        </w:rPr>
        <w:t>The most common objection to AI-generated transformation analysis is accuracy. It is the right question. The answer is in the architecture.</w:t>
      </w:r>
    </w:p>
    <w:p>
      <w:pPr>
        <w:spacing w:after="80"/>
      </w:pPr>
      <w:r>
        <w:rPr>
          <w:sz w:val="20"/>
        </w:rPr>
        <w:t>TransformHub does not ask an AI to guess how long things take. It asks an AI to reason about data that already exists. The distinction matters.</w:t>
      </w:r>
    </w:p>
    <w:p>
      <w:pPr>
        <w:spacing w:after="80"/>
      </w:pPr>
      <w:r>
        <w:rPr>
          <w:sz w:val="20"/>
        </w:rPr>
        <w:t>When a VSM step is populated with Jira-measured data (confidence 0.70–0.95), the AI's role is synthesis and interpretation — not fabrication. When code signals confirm a timeout of 30 seconds for a specific integration, that is a fact extracted from code, not a conjecture. The AI's contribution is connecting evidence sources and surfacing patterns, not inventing numbers.</w:t>
      </w:r>
    </w:p>
    <w:p>
      <w:pPr>
        <w:spacing w:after="80"/>
      </w:pPr>
      <w:r>
        <w:rPr>
          <w:sz w:val="20"/>
        </w:rPr>
        <w:t xml:space="preserve">A post-processing hallucination detector — running after every agent execution — catches the cases where LLM estimation does stray into fabrication: negative process times, flow efficiency exceeding 100%, lead times mathematically inconsistent with their components, suspiciously round numbers that signal estimation rather than measurement. Critical flags surface in the analyst UI before results persist to the database. In practice, across forty-two products and 1,204 value stream steps, </w:t>
      </w:r>
      <w:r>
        <w:rPr>
          <w:b/>
          <w:sz w:val="20"/>
        </w:rPr>
        <w:t>zero impossible values persisted to the final baseline</w:t>
      </w:r>
      <w:r>
        <w:rPr>
          <w:sz w:val="20"/>
        </w:rPr>
        <w:t xml:space="preserve"> after analyst review.</w:t>
      </w:r>
    </w:p>
    <w:p>
      <w:pPr>
        <w:spacing w:after="80"/>
      </w:pPr>
      <w:r>
        <w:rPr>
          <w:sz w:val="20"/>
        </w:rPr>
        <w:t>The timing provenance hierarchy makes the quality of every data point explicit:</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Source</w:t>
            </w:r>
          </w:p>
        </w:tc>
        <w:tc>
          <w:tcPr>
            <w:tcW w:type="dxa" w:w="2928"/>
            <w:shd w:val="clear" w:color="auto" w:fill="1E3A8A"/>
          </w:tcPr>
          <w:p>
            <w:r/>
            <w:r>
              <w:rPr>
                <w:b/>
                <w:color w:val="FFFFFF"/>
                <w:sz w:val="18"/>
              </w:rPr>
              <w:t>Confidence</w:t>
            </w:r>
          </w:p>
        </w:tc>
        <w:tc>
          <w:tcPr>
            <w:tcW w:type="dxa" w:w="2928"/>
            <w:shd w:val="clear" w:color="auto" w:fill="1E3A8A"/>
          </w:tcPr>
          <w:p>
            <w:r/>
            <w:r>
              <w:rPr>
                <w:b/>
                <w:color w:val="FFFFFF"/>
                <w:sz w:val="18"/>
              </w:rPr>
              <w:t>Derivation</w:t>
            </w:r>
          </w:p>
        </w:tc>
      </w:tr>
      <w:tr>
        <w:tc>
          <w:tcPr>
            <w:tcW w:type="dxa" w:w="2928"/>
          </w:tcPr>
          <w:p>
            <w:r>
              <w:rPr>
                <w:sz w:val="18"/>
              </w:rPr>
              <w:t>Jira-measured</w:t>
            </w:r>
          </w:p>
        </w:tc>
        <w:tc>
          <w:tcPr>
            <w:tcW w:type="dxa" w:w="2928"/>
          </w:tcPr>
          <w:p>
            <w:r>
              <w:rPr>
                <w:sz w:val="18"/>
              </w:rPr>
              <w:t>0.70–0.95</w:t>
            </w:r>
          </w:p>
        </w:tc>
        <w:tc>
          <w:tcPr>
            <w:tcW w:type="dxa" w:w="2928"/>
          </w:tcPr>
          <w:p>
            <w:r>
              <w:rPr>
                <w:sz w:val="18"/>
              </w:rPr>
              <w:t>Computed from actual changelog dwell times</w:t>
            </w:r>
          </w:p>
        </w:tc>
      </w:tr>
      <w:tr>
        <w:tc>
          <w:tcPr>
            <w:tcW w:type="dxa" w:w="2928"/>
            <w:shd w:val="clear" w:color="auto" w:fill="EFF6FF"/>
          </w:tcPr>
          <w:p>
            <w:r>
              <w:rPr>
                <w:sz w:val="18"/>
              </w:rPr>
              <w:t>Code signals</w:t>
            </w:r>
          </w:p>
        </w:tc>
        <w:tc>
          <w:tcPr>
            <w:tcW w:type="dxa" w:w="2928"/>
            <w:shd w:val="clear" w:color="auto" w:fill="EFF6FF"/>
          </w:tcPr>
          <w:p>
            <w:r>
              <w:rPr>
                <w:sz w:val="18"/>
              </w:rPr>
              <w:t>0.60–0.80</w:t>
            </w:r>
          </w:p>
        </w:tc>
        <w:tc>
          <w:tcPr>
            <w:tcW w:type="dxa" w:w="2928"/>
            <w:shd w:val="clear" w:color="auto" w:fill="EFF6FF"/>
          </w:tcPr>
          <w:p>
            <w:r>
              <w:rPr>
                <w:sz w:val="18"/>
              </w:rPr>
              <w:t>Extracted from embedded timeouts, SLAs, cron expressions</w:t>
            </w:r>
          </w:p>
        </w:tc>
      </w:tr>
      <w:tr>
        <w:tc>
          <w:tcPr>
            <w:tcW w:type="dxa" w:w="2928"/>
          </w:tcPr>
          <w:p>
            <w:r>
              <w:rPr>
                <w:sz w:val="18"/>
              </w:rPr>
              <w:t>Manual override</w:t>
            </w:r>
          </w:p>
        </w:tc>
        <w:tc>
          <w:tcPr>
            <w:tcW w:type="dxa" w:w="2928"/>
          </w:tcPr>
          <w:p>
            <w:r>
              <w:rPr>
                <w:sz w:val="18"/>
              </w:rPr>
              <w:t>1.00</w:t>
            </w:r>
          </w:p>
        </w:tc>
        <w:tc>
          <w:tcPr>
            <w:tcW w:type="dxa" w:w="2928"/>
          </w:tcPr>
          <w:p>
            <w:r>
              <w:rPr>
                <w:sz w:val="18"/>
              </w:rPr>
              <w:t>Analyst-entered with override note and audit record</w:t>
            </w:r>
          </w:p>
        </w:tc>
      </w:tr>
      <w:tr>
        <w:tc>
          <w:tcPr>
            <w:tcW w:type="dxa" w:w="2928"/>
            <w:shd w:val="clear" w:color="auto" w:fill="EFF6FF"/>
          </w:tcPr>
          <w:p>
            <w:r>
              <w:rPr>
                <w:sz w:val="18"/>
              </w:rPr>
              <w:t>LLM-estimated</w:t>
            </w:r>
          </w:p>
        </w:tc>
        <w:tc>
          <w:tcPr>
            <w:tcW w:type="dxa" w:w="2928"/>
            <w:shd w:val="clear" w:color="auto" w:fill="EFF6FF"/>
          </w:tcPr>
          <w:p>
            <w:r>
              <w:rPr>
                <w:sz w:val="18"/>
              </w:rPr>
              <w:t>0.50–0.65</w:t>
            </w:r>
          </w:p>
        </w:tc>
        <w:tc>
          <w:tcPr>
            <w:tcW w:type="dxa" w:w="2928"/>
            <w:shd w:val="clear" w:color="auto" w:fill="EFF6FF"/>
          </w:tcPr>
          <w:p>
            <w:r>
              <w:rPr>
                <w:sz w:val="18"/>
              </w:rPr>
              <w:t>AI estimate from context documents — always flagged</w:t>
            </w:r>
          </w:p>
        </w:tc>
      </w:tr>
    </w:tbl>
    <w:p/>
    <w:p>
      <w:pPr>
        <w:spacing w:after="80"/>
      </w:pPr>
      <w:r>
        <w:rPr>
          <w:sz w:val="20"/>
        </w:rPr>
        <w:t>Analysts are never asked to trust a number whose origin they cannot trace.</w:t>
      </w:r>
    </w:p>
    <w:p>
      <w:pPr>
        <w:spacing w:before="120" w:after="120"/>
      </w:pPr>
      <w:r>
        <w:t>────────────────────────────────────────────────────────────</w:t>
      </w:r>
    </w:p>
    <w:p>
      <w:pPr>
        <w:pStyle w:val="Heading2"/>
        <w:spacing w:before="280" w:after="80"/>
      </w:pPr>
      <w:r>
        <w:rPr>
          <w:b/>
          <w:color w:val="1E3A8A"/>
          <w:sz w:val="32"/>
        </w:rPr>
        <w:t>The Enterprise Readiness Argument</w:t>
      </w:r>
    </w:p>
    <w:p>
      <w:pPr>
        <w:spacing w:after="80"/>
      </w:pPr>
      <w:r>
        <w:rPr>
          <w:sz w:val="20"/>
        </w:rPr>
        <w:t>Most AI platforms built for enterprise use cases are prototypes with an enterprise veneer — capable of impressive demos, incapable of surviving procurement.</w:t>
      </w:r>
    </w:p>
    <w:p>
      <w:pPr>
        <w:spacing w:after="80"/>
      </w:pPr>
      <w:r>
        <w:rPr>
          <w:sz w:val="20"/>
        </w:rPr>
        <w:t>TransformHub was built the other way around. The security architecture was not retrofitted; it was designed first.</w:t>
      </w:r>
    </w:p>
    <w:p>
      <w:pPr>
        <w:spacing w:after="80"/>
      </w:pPr>
      <w:r>
        <w:rPr>
          <w:sz w:val="20"/>
        </w:rPr>
      </w:r>
      <w:r>
        <w:rPr>
          <w:b/>
          <w:sz w:val="20"/>
        </w:rPr>
        <w:t>Data isolation</w:t>
      </w:r>
      <w:r>
        <w:rPr>
          <w:sz w:val="20"/>
        </w:rPr>
        <w:t xml:space="preserve"> is enforced at the database layer via PostgreSQL Row-Level Security using session-scoped org identifiers. There is no application-layer code path through which one tenant's data can reach another tenant's session. This is not a feature. It is the only architecture that can satisfy regulated industry procurement requirements.</w:t>
      </w:r>
    </w:p>
    <w:p>
      <w:pPr>
        <w:spacing w:after="80"/>
      </w:pPr>
      <w:r>
        <w:rPr>
          <w:sz w:val="20"/>
        </w:rPr>
      </w:r>
      <w:r>
        <w:rPr>
          <w:b/>
          <w:sz w:val="20"/>
        </w:rPr>
        <w:t>Identity</w:t>
      </w:r>
      <w:r>
        <w:rPr>
          <w:sz w:val="20"/>
        </w:rPr>
        <w:t xml:space="preserve"> is managed via SSO integration with both Google OAuth and Azure Entra ID, with domain-based org provisioning — users authenticate through their existing enterprise identity provider and are automatically mapped to the correct tenant. No new password management overhead. No separate identity silo.</w:t>
      </w:r>
    </w:p>
    <w:p>
      <w:pPr>
        <w:spacing w:after="80"/>
      </w:pPr>
      <w:r>
        <w:rPr>
          <w:sz w:val="20"/>
        </w:rPr>
      </w:r>
      <w:r>
        <w:rPr>
          <w:b/>
          <w:sz w:val="20"/>
        </w:rPr>
        <w:t>Auditability</w:t>
      </w:r>
      <w:r>
        <w:rPr>
          <w:sz w:val="20"/>
        </w:rPr>
        <w:t xml:space="preserve"> is not a reporting feature; it is a system property. Every agent execution, manual override, and document upload is logged with actor identity, timestamp, and hash chaining. The audit trail is tamper-evident and directly usable for regulatory submissions. Every number in a board-level investment case can be traced to its source data in a single audit query.</w:t>
      </w:r>
    </w:p>
    <w:p>
      <w:pPr>
        <w:spacing w:after="80"/>
      </w:pPr>
      <w:r>
        <w:rPr>
          <w:sz w:val="20"/>
        </w:rPr>
      </w:r>
      <w:r>
        <w:rPr>
          <w:b/>
          <w:sz w:val="20"/>
        </w:rPr>
        <w:t>Reliability</w:t>
      </w:r>
      <w:r>
        <w:rPr>
          <w:sz w:val="20"/>
        </w:rPr>
        <w:t xml:space="preserve"> is engineered, not promised. Circuit breakers on all LLM providers automatically transition through CLOSED/OPEN/HALF_OPEN states. When Claude is unavailable, the fallback chain routes to Azure OpenAI, then OpenAI. Agents always have a path to completion. The async task queue persists execution state in Redis with dead letter capture for failed runs. Kubernetes HPA scales the agent service from two to ten replicas under load and back again.</w:t>
      </w:r>
    </w:p>
    <w:p>
      <w:pPr>
        <w:spacing w:after="80"/>
      </w:pPr>
      <w:r>
        <w:rPr>
          <w:sz w:val="20"/>
        </w:rPr>
      </w:r>
      <w:r>
        <w:rPr>
          <w:b/>
          <w:sz w:val="20"/>
        </w:rPr>
        <w:t>Cost control</w:t>
      </w:r>
      <w:r>
        <w:rPr>
          <w:sz w:val="20"/>
        </w:rPr>
        <w:t xml:space="preserve"> is enforced before execution, not after. Per-organisation monthly spend caps are checked at the API layer before any agent run is initiated. Organisations can supply their own Anthropic API keys, ensuring AI spend is billed to and visible in their own accounts. LLM cost tiering routes formatting tasks to smaller models at 10–15× lower cost, reducing per-execution spend by 20–35% without quality degradation.</w:t>
      </w:r>
    </w:p>
    <w:p>
      <w:pPr>
        <w:spacing w:before="120" w:after="120"/>
      </w:pPr>
      <w:r>
        <w:t>────────────────────────────────────────────────────────────</w:t>
      </w:r>
    </w:p>
    <w:p>
      <w:pPr>
        <w:pStyle w:val="Heading2"/>
        <w:spacing w:before="280" w:after="80"/>
      </w:pPr>
      <w:r>
        <w:rPr>
          <w:b/>
          <w:color w:val="1E3A8A"/>
          <w:sz w:val="32"/>
        </w:rPr>
        <w:t>Why the Timing Is Now</w:t>
      </w:r>
    </w:p>
    <w:p>
      <w:pPr>
        <w:spacing w:after="80"/>
      </w:pPr>
      <w:r>
        <w:rPr>
          <w:sz w:val="20"/>
        </w:rPr>
        <w:t>Three forces have converged to make this the right moment.</w:t>
      </w:r>
    </w:p>
    <w:p>
      <w:pPr>
        <w:spacing w:after="80"/>
      </w:pPr>
      <w:r>
        <w:rPr>
          <w:sz w:val="20"/>
        </w:rPr>
      </w:r>
      <w:r>
        <w:rPr>
          <w:b/>
          <w:sz w:val="20"/>
        </w:rPr>
        <w:t>The AI capability inflection is real.</w:t>
      </w:r>
      <w:r>
        <w:rPr>
          <w:sz w:val="20"/>
        </w:rPr>
        <w:t xml:space="preserve"> LangGraph-orchestrated multi-agent systems can now perform the kind of multi-step, evidence-grounded reasoning that transformation analysis requires. The capability to connect Jira data to capability maps to value stream timings to investment projections — and do it reliably, at scale, in hours rather than months — did not exist at production quality two years ago. It does now.</w:t>
      </w:r>
    </w:p>
    <w:p>
      <w:pPr>
        <w:spacing w:after="80"/>
      </w:pPr>
      <w:r>
        <w:rPr>
          <w:sz w:val="20"/>
        </w:rPr>
      </w:r>
      <w:r>
        <w:rPr>
          <w:b/>
          <w:sz w:val="20"/>
        </w:rPr>
        <w:t>The cost of the old approach is becoming visible.</w:t>
      </w:r>
      <w:r>
        <w:rPr>
          <w:sz w:val="20"/>
        </w:rPr>
        <w:t xml:space="preserve"> Enterprise boards are beginning to scrutinise transformation programme economics more critically. A $2.8M investment in workshop-based baseline analysis that produces a six-month-old picture is harder to defend in a world where the alternative produces a more accurate picture in seventeen days. The ROI gap is becoming a governance question.</w:t>
      </w:r>
    </w:p>
    <w:p>
      <w:pPr>
        <w:spacing w:after="80"/>
      </w:pPr>
      <w:r>
        <w:rPr>
          <w:sz w:val="20"/>
        </w:rPr>
      </w:r>
      <w:r>
        <w:rPr>
          <w:b/>
          <w:sz w:val="20"/>
        </w:rPr>
        <w:t>The competitive window is narrow.</w:t>
      </w:r>
      <w:r>
        <w:rPr>
          <w:sz w:val="20"/>
        </w:rPr>
        <w:t xml:space="preserve"> Organisations that establish data-grounded transformation baselines now will compound that advantage over the next two to three years as their continuous monitoring tracks improvement velocity and their cross-product benchmarks sharpen. Organisations that continue with annual workshop cycles will be making investment decisions against benchmarks their competitors are updating quarterly.</w:t>
      </w:r>
    </w:p>
    <w:p>
      <w:pPr>
        <w:spacing w:before="120" w:after="120"/>
      </w:pPr>
      <w:r>
        <w:t>────────────────────────────────────────────────────────────</w:t>
      </w:r>
    </w:p>
    <w:p>
      <w:pPr>
        <w:pStyle w:val="Heading2"/>
        <w:spacing w:before="280" w:after="80"/>
      </w:pPr>
      <w:r>
        <w:rPr>
          <w:b/>
          <w:color w:val="1E3A8A"/>
          <w:sz w:val="32"/>
        </w:rPr>
        <w:t>The Conversation We Are Inviting</w:t>
      </w:r>
    </w:p>
    <w:p>
      <w:pPr>
        <w:spacing w:after="80"/>
      </w:pPr>
      <w:r>
        <w:rPr>
          <w:sz w:val="20"/>
        </w:rPr>
        <w:t>TransformHub does not replace transformation leadership, engineering judgement, or the human understanding of organisational context that drives successful programmes. It replaces the part of the transformation process that was never suited to human execution in the first place: the manual extraction of evidence that already exists in machine-readable form, sitting in systems that every enterprise already runs.</w:t>
      </w:r>
    </w:p>
    <w:p>
      <w:pPr>
        <w:spacing w:after="80"/>
      </w:pPr>
      <w:r>
        <w:rPr>
          <w:sz w:val="20"/>
        </w:rPr>
        <w:t>The question is not whether your organisation needs data-grounded transformation intelligence. Every organisation making significant transformation investments does.</w:t>
      </w:r>
    </w:p>
    <w:p>
      <w:pPr>
        <w:spacing w:after="80"/>
      </w:pPr>
      <w:r>
        <w:rPr>
          <w:sz w:val="20"/>
        </w:rPr>
        <w:t>The question is when you want to start making decisions based on what is actually true about your systems — rather than what someone remembered in a workshop six months ago.</w:t>
      </w:r>
    </w:p>
    <w:p>
      <w:pPr>
        <w:spacing w:before="120" w:after="120"/>
      </w:pPr>
      <w:r>
        <w:t>────────────────────────────────────────────────────────────</w:t>
      </w:r>
    </w:p>
    <w:p>
      <w:pPr>
        <w:pStyle w:val="Heading2"/>
        <w:spacing w:before="280" w:after="80"/>
      </w:pPr>
      <w:r>
        <w:rPr>
          <w:b/>
          <w:color w:val="1E3A8A"/>
          <w:sz w:val="32"/>
        </w:rPr>
        <w:t>Appendix: Key Metrics at a Glance</w:t>
      </w:r>
    </w:p>
    <w:tbl>
      <w:tblPr>
        <w:tblStyle w:val="TableGrid"/>
        <w:tblW w:type="auto" w:w="0"/>
        <w:tblLook w:firstColumn="1" w:firstRow="1" w:lastColumn="0" w:lastRow="0" w:noHBand="0" w:noVBand="1" w:val="04A0"/>
      </w:tblPr>
      <w:tblGrid>
        <w:gridCol w:w="2928"/>
        <w:gridCol w:w="2928"/>
        <w:gridCol w:w="2928"/>
      </w:tblGrid>
      <w:tr>
        <w:tc>
          <w:tcPr>
            <w:tcW w:type="dxa" w:w="2928"/>
            <w:shd w:val="clear" w:color="auto" w:fill="1E3A8A"/>
          </w:tcPr>
          <w:p>
            <w:r/>
            <w:r>
              <w:rPr>
                <w:b/>
                <w:color w:val="FFFFFF"/>
                <w:sz w:val="18"/>
              </w:rPr>
              <w:t>Dimension</w:t>
            </w:r>
          </w:p>
        </w:tc>
        <w:tc>
          <w:tcPr>
            <w:tcW w:type="dxa" w:w="2928"/>
            <w:shd w:val="clear" w:color="auto" w:fill="1E3A8A"/>
          </w:tcPr>
          <w:p>
            <w:r/>
            <w:r>
              <w:rPr>
                <w:b/>
                <w:color w:val="FFFFFF"/>
                <w:sz w:val="18"/>
              </w:rPr>
              <w:t>Traditional Approach</w:t>
            </w:r>
          </w:p>
        </w:tc>
        <w:tc>
          <w:tcPr>
            <w:tcW w:type="dxa" w:w="2928"/>
            <w:shd w:val="clear" w:color="auto" w:fill="1E3A8A"/>
          </w:tcPr>
          <w:p>
            <w:r/>
            <w:r>
              <w:rPr>
                <w:b/>
                <w:color w:val="FFFFFF"/>
                <w:sz w:val="18"/>
              </w:rPr>
              <w:t>TransformHub</w:t>
            </w:r>
          </w:p>
        </w:tc>
      </w:tr>
      <w:tr>
        <w:tc>
          <w:tcPr>
            <w:tcW w:type="dxa" w:w="2928"/>
          </w:tcPr>
          <w:p>
            <w:r>
              <w:rPr>
                <w:sz w:val="18"/>
              </w:rPr>
              <w:t>Time for full portfolio baseline (40 products)</w:t>
            </w:r>
          </w:p>
        </w:tc>
        <w:tc>
          <w:tcPr>
            <w:tcW w:type="dxa" w:w="2928"/>
          </w:tcPr>
          <w:p>
            <w:r>
              <w:rPr>
                <w:sz w:val="18"/>
              </w:rPr>
              <w:t>42–68 weeks</w:t>
            </w:r>
          </w:p>
        </w:tc>
        <w:tc>
          <w:tcPr>
            <w:tcW w:type="dxa" w:w="2928"/>
          </w:tcPr>
          <w:p>
            <w:r>
              <w:rPr>
                <w:sz w:val="18"/>
              </w:rPr>
              <w:t>2–3 weeks</w:t>
            </w:r>
          </w:p>
        </w:tc>
      </w:tr>
      <w:tr>
        <w:tc>
          <w:tcPr>
            <w:tcW w:type="dxa" w:w="2928"/>
            <w:shd w:val="clear" w:color="auto" w:fill="EFF6FF"/>
          </w:tcPr>
          <w:p>
            <w:r>
              <w:rPr>
                <w:sz w:val="18"/>
              </w:rPr>
              <w:t>Cost of baseline analysis</w:t>
            </w:r>
          </w:p>
        </w:tc>
        <w:tc>
          <w:tcPr>
            <w:tcW w:type="dxa" w:w="2928"/>
            <w:shd w:val="clear" w:color="auto" w:fill="EFF6FF"/>
          </w:tcPr>
          <w:p>
            <w:r>
              <w:rPr>
                <w:sz w:val="18"/>
              </w:rPr>
              <w:t>$1.5M–$4M</w:t>
            </w:r>
          </w:p>
        </w:tc>
        <w:tc>
          <w:tcPr>
            <w:tcW w:type="dxa" w:w="2928"/>
            <w:shd w:val="clear" w:color="auto" w:fill="EFF6FF"/>
          </w:tcPr>
          <w:p>
            <w:r>
              <w:rPr>
                <w:sz w:val="18"/>
              </w:rPr>
              <w:t>Fraction of traditional cost</w:t>
            </w:r>
          </w:p>
        </w:tc>
      </w:tr>
      <w:tr>
        <w:tc>
          <w:tcPr>
            <w:tcW w:type="dxa" w:w="2928"/>
          </w:tcPr>
          <w:p>
            <w:r>
              <w:rPr>
                <w:sz w:val="18"/>
              </w:rPr>
              <w:t>% of VSM timings anchored to measured data</w:t>
            </w:r>
          </w:p>
        </w:tc>
        <w:tc>
          <w:tcPr>
            <w:tcW w:type="dxa" w:w="2928"/>
          </w:tcPr>
          <w:p>
            <w:r>
              <w:rPr>
                <w:sz w:val="18"/>
              </w:rPr>
              <w:t>~0% (all estimated)</w:t>
            </w:r>
          </w:p>
        </w:tc>
        <w:tc>
          <w:tcPr>
            <w:tcW w:type="dxa" w:w="2928"/>
          </w:tcPr>
          <w:p>
            <w:r>
              <w:rPr>
                <w:sz w:val="18"/>
              </w:rPr>
              <w:t>70%+ (Jira-measured)</w:t>
            </w:r>
          </w:p>
        </w:tc>
      </w:tr>
      <w:tr>
        <w:tc>
          <w:tcPr>
            <w:tcW w:type="dxa" w:w="2928"/>
            <w:shd w:val="clear" w:color="auto" w:fill="EFF6FF"/>
          </w:tcPr>
          <w:p>
            <w:r>
              <w:rPr>
                <w:sz w:val="18"/>
              </w:rPr>
              <w:t>Bottleneck detection rate</w:t>
            </w:r>
          </w:p>
        </w:tc>
        <w:tc>
          <w:tcPr>
            <w:tcW w:type="dxa" w:w="2928"/>
            <w:shd w:val="clear" w:color="auto" w:fill="EFF6FF"/>
          </w:tcPr>
          <w:p>
            <w:r>
              <w:rPr>
                <w:sz w:val="18"/>
              </w:rPr>
              <w:t>Covers known, visible bottlenecks</w:t>
            </w:r>
          </w:p>
        </w:tc>
        <w:tc>
          <w:tcPr>
            <w:tcW w:type="dxa" w:w="2928"/>
            <w:shd w:val="clear" w:color="auto" w:fill="EFF6FF"/>
          </w:tcPr>
          <w:p>
            <w:r>
              <w:rPr>
                <w:sz w:val="18"/>
              </w:rPr>
              <w:t>Surfaces unknown bottlenecks from data</w:t>
            </w:r>
          </w:p>
        </w:tc>
      </w:tr>
      <w:tr>
        <w:tc>
          <w:tcPr>
            <w:tcW w:type="dxa" w:w="2928"/>
          </w:tcPr>
          <w:p>
            <w:r>
              <w:rPr>
                <w:sz w:val="18"/>
              </w:rPr>
              <w:t>Baseline freshness</w:t>
            </w:r>
          </w:p>
        </w:tc>
        <w:tc>
          <w:tcPr>
            <w:tcW w:type="dxa" w:w="2928"/>
          </w:tcPr>
          <w:p>
            <w:r>
              <w:rPr>
                <w:sz w:val="18"/>
              </w:rPr>
              <w:t>Point-in-time; 6–12 months stale</w:t>
            </w:r>
          </w:p>
        </w:tc>
        <w:tc>
          <w:tcPr>
            <w:tcW w:type="dxa" w:w="2928"/>
          </w:tcPr>
          <w:p>
            <w:r>
              <w:rPr>
                <w:sz w:val="18"/>
              </w:rPr>
              <w:t>Continuously updated with Jira cycles</w:t>
            </w:r>
          </w:p>
        </w:tc>
      </w:tr>
      <w:tr>
        <w:tc>
          <w:tcPr>
            <w:tcW w:type="dxa" w:w="2928"/>
            <w:shd w:val="clear" w:color="auto" w:fill="EFF6FF"/>
          </w:tcPr>
          <w:p>
            <w:r>
              <w:rPr>
                <w:sz w:val="18"/>
              </w:rPr>
              <w:t>Benchmark access</w:t>
            </w:r>
          </w:p>
        </w:tc>
        <w:tc>
          <w:tcPr>
            <w:tcW w:type="dxa" w:w="2928"/>
            <w:shd w:val="clear" w:color="auto" w:fill="EFF6FF"/>
          </w:tcPr>
          <w:p>
            <w:r>
              <w:rPr>
                <w:sz w:val="18"/>
              </w:rPr>
              <w:t>Expensive, 18-month-stale studies</w:t>
            </w:r>
          </w:p>
        </w:tc>
        <w:tc>
          <w:tcPr>
            <w:tcW w:type="dxa" w:w="2928"/>
            <w:shd w:val="clear" w:color="auto" w:fill="EFF6FF"/>
          </w:tcPr>
          <w:p>
            <w:r>
              <w:rPr>
                <w:sz w:val="18"/>
              </w:rPr>
              <w:t>Live cross-org p25/p50/p75 by industry</w:t>
            </w:r>
          </w:p>
        </w:tc>
      </w:tr>
      <w:tr>
        <w:tc>
          <w:tcPr>
            <w:tcW w:type="dxa" w:w="2928"/>
          </w:tcPr>
          <w:p>
            <w:r>
              <w:rPr>
                <w:sz w:val="18"/>
              </w:rPr>
              <w:t>Audit trail for board / regulatory submission</w:t>
            </w:r>
          </w:p>
        </w:tc>
        <w:tc>
          <w:tcPr>
            <w:tcW w:type="dxa" w:w="2928"/>
          </w:tcPr>
          <w:p>
            <w:r>
              <w:rPr>
                <w:sz w:val="18"/>
              </w:rPr>
              <w:t>Workshop notes, inconsistent quality</w:t>
            </w:r>
          </w:p>
        </w:tc>
        <w:tc>
          <w:tcPr>
            <w:tcW w:type="dxa" w:w="2928"/>
          </w:tcPr>
          <w:p>
            <w:r>
              <w:rPr>
                <w:sz w:val="18"/>
              </w:rPr>
              <w:t>Full trace: Jira ticket → VSM timing → investment rationale</w:t>
            </w:r>
          </w:p>
        </w:tc>
      </w:tr>
      <w:tr>
        <w:tc>
          <w:tcPr>
            <w:tcW w:type="dxa" w:w="2928"/>
            <w:shd w:val="clear" w:color="auto" w:fill="EFF6FF"/>
          </w:tcPr>
          <w:p>
            <w:r>
              <w:rPr>
                <w:sz w:val="18"/>
              </w:rPr>
              <w:t>Time to board investment approval</w:t>
            </w:r>
          </w:p>
        </w:tc>
        <w:tc>
          <w:tcPr>
            <w:tcW w:type="dxa" w:w="2928"/>
            <w:shd w:val="clear" w:color="auto" w:fill="EFF6FF"/>
          </w:tcPr>
          <w:p>
            <w:r>
              <w:rPr>
                <w:sz w:val="18"/>
              </w:rPr>
              <w:t>3–4 review cycles over 4+ months</w:t>
            </w:r>
          </w:p>
        </w:tc>
        <w:tc>
          <w:tcPr>
            <w:tcW w:type="dxa" w:w="2928"/>
            <w:shd w:val="clear" w:color="auto" w:fill="EFF6FF"/>
          </w:tcPr>
          <w:p>
            <w:r>
              <w:rPr>
                <w:sz w:val="18"/>
              </w:rPr>
              <w:t>First review, data-grounded submission</w:t>
            </w:r>
          </w:p>
        </w:tc>
      </w:tr>
    </w:tbl>
    <w:p/>
    <w:p>
      <w:pPr>
        <w:spacing w:before="120" w:after="120"/>
      </w:pPr>
      <w:r>
        <w:t>────────────────────────────────────────────────────────────</w:t>
      </w:r>
    </w:p>
    <w:p>
      <w:pPr>
        <w:spacing w:after="80"/>
      </w:pPr>
      <w:r>
        <w:rPr>
          <w:sz w:val="20"/>
        </w:rPr>
        <w:t>*TransformHub — Built for the enterprise transformation teams who are done making billion-dollar decisions on six-month-old opinions.*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