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0C1C3A"/>
          <w:sz w:val="56"/>
        </w:rPr>
        <w:t>US Bank × TransformHub</w:t>
      </w:r>
    </w:p>
    <w:p>
      <w:pPr>
        <w:jc w:val="center"/>
      </w:pPr>
      <w:r>
        <w:rPr>
          <w:i/>
          <w:color w:val="2563EB"/>
          <w:sz w:val="28"/>
        </w:rPr>
        <w:t>Case Study: AI-Powered Digital Transformation Intelligence</w:t>
      </w:r>
    </w:p>
    <w:p/>
    <w:p>
      <w:pPr>
        <w:jc w:val="center"/>
      </w:pPr>
      <w:r>
        <w:rPr>
          <w:b/>
          <w:color w:val="1E3A8A"/>
          <w:sz w:val="26"/>
        </w:rPr>
        <w:t>Industry: Banking &amp; Financial Services  |  Region: United States &amp; Australia</w:t>
      </w:r>
    </w:p>
    <w:p>
      <w:pPr>
        <w:jc w:val="center"/>
      </w:pPr>
      <w:r>
        <w:rPr>
          <w:color w:val="64748B"/>
          <w:sz w:val="20"/>
        </w:rPr>
        <w:t>March 2026  |  Confidential</w:t>
      </w:r>
    </w:p>
    <w:p>
      <w:r>
        <w:br w:type="page"/>
      </w:r>
    </w:p>
    <w:p>
      <w:pPr>
        <w:spacing w:before="360" w:after="120"/>
      </w:pPr>
      <w:r>
        <w:rPr>
          <w:b/>
          <w:color w:val="0C1C3A"/>
          <w:sz w:val="44"/>
        </w:rPr>
        <w:t>Executive Summary</w:t>
      </w:r>
    </w:p>
    <w:p>
      <w:pPr>
        <w:spacing w:after="120"/>
      </w:pPr>
      <w:r>
        <w:rPr>
          <w:color w:val="0F172A"/>
          <w:sz w:val="22"/>
        </w:rPr>
        <w:t xml:space="preserve">US Bank, one of the largest commercial banks in the United States, deployed TransformHub — an enterprise AI-powered digital transformation intelligence platform — across its Digital Channels Portfolio and Core Banking Platform in January 2026. Within six months, the bank achieved a </w:t>
      </w:r>
      <w:r>
        <w:rPr>
          <w:b/>
          <w:color w:val="0F172A"/>
          <w:sz w:val="22"/>
        </w:rPr>
        <w:t>97% reduction in transformation assessment cost</w:t>
      </w:r>
      <w:r>
        <w:rPr>
          <w:color w:val="0F172A"/>
          <w:sz w:val="22"/>
        </w:rPr>
        <w:t xml:space="preserve">, a </w:t>
      </w:r>
      <w:r>
        <w:rPr>
          <w:b/>
          <w:color w:val="0F172A"/>
          <w:sz w:val="22"/>
        </w:rPr>
        <w:t>98% reduction in time-to-insight</w:t>
      </w:r>
      <w:r>
        <w:rPr>
          <w:color w:val="0F172A"/>
          <w:sz w:val="22"/>
        </w:rPr>
        <w:t>, and established the first continuously-updated, AI-scored transformation intelligence system in its operating history.</w:t>
      </w:r>
    </w:p>
    <w:p>
      <w:pPr>
        <w:spacing w:after="120"/>
      </w:pPr>
      <w:r>
        <w:rPr>
          <w:color w:val="0F172A"/>
          <w:sz w:val="22"/>
        </w:rPr>
        <w:t xml:space="preserve">The deployment leveraged TransformHub's full suite of </w:t>
      </w:r>
      <w:r>
        <w:rPr>
          <w:b/>
          <w:color w:val="0F172A"/>
          <w:sz w:val="22"/>
        </w:rPr>
        <w:t>18 specialised LangGraph agents</w:t>
      </w:r>
      <w:r>
        <w:rPr>
          <w:color w:val="0F172A"/>
          <w:sz w:val="22"/>
        </w:rPr>
        <w:t xml:space="preserve">, a </w:t>
      </w:r>
      <w:r>
        <w:rPr>
          <w:b/>
          <w:color w:val="0F172A"/>
          <w:sz w:val="22"/>
        </w:rPr>
        <w:t>hybrid BM25 + vector RAG pipeline</w:t>
      </w:r>
      <w:r>
        <w:rPr>
          <w:color w:val="0F172A"/>
          <w:sz w:val="22"/>
        </w:rPr>
        <w:t xml:space="preserve"> with category-aware 12,000-character context budgets, </w:t>
      </w:r>
      <w:r>
        <w:rPr>
          <w:b/>
          <w:color w:val="0F172A"/>
          <w:sz w:val="22"/>
        </w:rPr>
        <w:t>Human-in-the-Loop governance gates</w:t>
      </w:r>
      <w:r>
        <w:rPr>
          <w:color w:val="0F172A"/>
          <w:sz w:val="22"/>
        </w:rPr>
        <w:t xml:space="preserve">, an </w:t>
      </w:r>
      <w:r>
        <w:rPr>
          <w:b/>
          <w:color w:val="0F172A"/>
          <w:sz w:val="22"/>
        </w:rPr>
        <w:t>agent memory learning system</w:t>
      </w:r>
      <w:r>
        <w:rPr>
          <w:color w:val="0F172A"/>
          <w:sz w:val="22"/>
        </w:rPr>
        <w:t xml:space="preserve">, and a </w:t>
      </w:r>
      <w:r>
        <w:rPr>
          <w:b/>
          <w:color w:val="0F172A"/>
          <w:sz w:val="22"/>
        </w:rPr>
        <w:t>SHA-256 chained audit trail</w:t>
      </w:r>
      <w:r>
        <w:rPr>
          <w:color w:val="0F172A"/>
          <w:sz w:val="22"/>
        </w:rPr>
        <w:t xml:space="preserve"> — enabling the bank's Chief Digital Officer to present a benchmark-grounded, confidence-scored $240M transformation business case to the board within four hours of synthesis.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 Bank — Commercial Banking, United States</w:t>
            </w:r>
          </w:p>
        </w:tc>
      </w:tr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Banking &amp; Financial Services</w:t>
            </w:r>
          </w:p>
        </w:tc>
      </w:tr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TransformHub v1.0 — 18 Agent AI Intelligence Platform</w:t>
            </w:r>
          </w:p>
        </w:tc>
      </w:tr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January 2026 — 3 business segments, 2 repositories</w:t>
            </w:r>
          </w:p>
        </w:tc>
      </w:tr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months operational — Full agent suite active</w:t>
            </w:r>
          </w:p>
        </w:tc>
      </w:tr>
    </w:tbl>
    <w:p/>
    <w:p>
      <w:pPr>
        <w:spacing w:before="360" w:after="120"/>
      </w:pPr>
      <w:r>
        <w:rPr>
          <w:b/>
          <w:color w:val="0C1C3A"/>
          <w:sz w:val="44"/>
        </w:rPr>
        <w:t>1. Client Background</w:t>
      </w:r>
    </w:p>
    <w:p>
      <w:pPr>
        <w:spacing w:before="280" w:after="80"/>
      </w:pPr>
      <w:r>
        <w:rPr>
          <w:b/>
          <w:color w:val="1E3A8A"/>
          <w:sz w:val="30"/>
        </w:rPr>
        <w:t>1.1 Organisation Profile</w:t>
      </w:r>
    </w:p>
    <w:p>
      <w:pPr>
        <w:spacing w:after="120"/>
      </w:pPr>
      <w:r>
        <w:rPr>
          <w:color w:val="0F172A"/>
          <w:sz w:val="22"/>
        </w:rPr>
        <w:t>US Bank is a full-service commercial and retail bank operating across the United States and internationally. The bank serves 18 million retail customers, 6,500 institutional clients, and manages assets under administration exceeding $600 billion. Its digital transformation programme, launched in 2022 under the "Digital First" strategic agenda, committed $1.4 billion over five years to modernising the bank's digital estate across three business segments: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Retail Banking</w:t>
      </w:r>
      <w:r>
        <w:rPr>
          <w:color w:val="0F172A"/>
          <w:sz w:val="21"/>
        </w:rPr>
        <w:t xml:space="preserve"> — consumer deposits, lending, mobile and online banking, payments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Institutional Banking (IBG)</w:t>
      </w:r>
      <w:r>
        <w:rPr>
          <w:color w:val="0F172A"/>
          <w:sz w:val="21"/>
        </w:rPr>
        <w:t xml:space="preserve"> — corporate banking, trade finance, treasury management, FX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Wealth Management</w:t>
      </w:r>
      <w:r>
        <w:rPr>
          <w:color w:val="0F172A"/>
          <w:sz w:val="21"/>
        </w:rPr>
        <w:t xml:space="preserve"> — private banking, investment advisory, portfolio management, insurance</w:t>
      </w:r>
    </w:p>
    <w:p>
      <w:pPr>
        <w:spacing w:before="280" w:after="80"/>
      </w:pPr>
      <w:r>
        <w:rPr>
          <w:b/>
          <w:color w:val="1E3A8A"/>
          <w:sz w:val="30"/>
        </w:rPr>
        <w:t>1.2 Digital Estate at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Scale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Products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major products across 3 business segments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Digital Capabilities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47 capabilities mapped at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200+ individual functionalities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Technology Stacks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3 primary stacks (2002, 2011, 2019 vintage)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 IT Operating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~$890M per year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Active Transformation Initiatives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34 initiatives across 3 segments at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Frameworks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APRA CPS 234, PCI-DSS v4.0, Privacy Act, AUSTRAC, SOX</w:t>
            </w:r>
          </w:p>
        </w:tc>
      </w:tr>
    </w:tbl>
    <w:p/>
    <w:p>
      <w:pPr>
        <w:spacing w:before="360" w:after="120"/>
      </w:pPr>
      <w:r>
        <w:rPr>
          <w:b/>
          <w:color w:val="0C1C3A"/>
          <w:sz w:val="44"/>
        </w:rPr>
        <w:t>2. The Challenge</w:t>
      </w:r>
    </w:p>
    <w:p>
      <w:pPr>
        <w:spacing w:before="280" w:after="80"/>
      </w:pPr>
      <w:r>
        <w:rPr>
          <w:b/>
          <w:color w:val="1E3A8A"/>
          <w:sz w:val="30"/>
        </w:rPr>
        <w:t>2.1 Primary Problem Statement</w:t>
      </w:r>
    </w:p>
    <w:p>
      <w:pPr>
        <w:spacing w:after="120"/>
      </w:pPr>
      <w:r>
        <w:rPr>
          <w:color w:val="0F172A"/>
          <w:sz w:val="22"/>
        </w:rPr>
        <w:t>US Bank faced five interconnected transformation intelligence challenges that collectively impeded the effectiveness of its $1.4B digital transformation programme: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Business Impact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Transformation Opacity: No continuous, unified view of digital estate transformation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$140M estimated annual cost of misaligned investment and delayed delivery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Manual Analysis Bottleneck: VSM and capability assessments requiring weeks of facilitated workshops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$380K per product assessment; only 3 products fully assessed in 2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Siloed Intelligence: Transformation knowledge locked in individual consultant documents, no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~$8M in assessments that generated insights never systematically reused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No Benchmark Grounding: Transformation plans without reference to industry performance data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Board investment proposals rejected or delayed due to unsubstantiated projections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Governance Gap: AI-generated insights lacked audit trail, confidence scoring, human oversight mechanisms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CDO unable to present AI analysis at board level due to traceability concerns</w:t>
            </w:r>
          </w:p>
        </w:tc>
      </w:tr>
    </w:tbl>
    <w:p/>
    <w:p>
      <w:pPr>
        <w:spacing w:before="280" w:after="80"/>
      </w:pPr>
      <w:r>
        <w:rPr>
          <w:b/>
          <w:color w:val="1E3A8A"/>
          <w:sz w:val="30"/>
        </w:rPr>
        <w:t>2.2 Specific Pain Points at Time of Engagement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Most recent portfolio-wide capability assessment was 14 months old at time of TransformHub deployment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Online Banking Portal — the bank's highest-revenue digital product — had not had a formal VSM analysis in 3 years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Risk register for Institutional Banking digital products was acknowledged internally as "significantly incomplete"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Executive reporting on transformation progress required 3 weeks of manual compilation by 2 senior analysts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Board confidence in transformation programme had declined: 2 of 5 board members had called for an independent external review</w:t>
      </w:r>
    </w:p>
    <w:p>
      <w:pPr>
        <w:spacing w:before="360" w:after="120"/>
      </w:pPr>
      <w:r>
        <w:rPr>
          <w:b/>
          <w:color w:val="0C1C3A"/>
          <w:sz w:val="44"/>
        </w:rPr>
        <w:t>3. The TransformHub Solution</w:t>
      </w:r>
    </w:p>
    <w:p>
      <w:pPr>
        <w:spacing w:before="280" w:after="80"/>
      </w:pPr>
      <w:r>
        <w:rPr>
          <w:b/>
          <w:color w:val="1E3A8A"/>
          <w:sz w:val="30"/>
        </w:rPr>
        <w:t>3.1 Platform Architecture</w:t>
      </w:r>
    </w:p>
    <w:p>
      <w:pPr>
        <w:spacing w:after="120"/>
      </w:pPr>
      <w:r>
        <w:rPr>
          <w:color w:val="0F172A"/>
          <w:sz w:val="22"/>
        </w:rPr>
        <w:t>TransformHub deployed as a dedicated instance for US Bank, running on the bank's approved cloud infrastructure. The platform architecture comprised: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Technology &amp;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Next.js 15 App Router + TypeScript + Tailwind v4 — dark glassmorphism interface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Agent Service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FastAPI + LangGraph 18 agents — Python 3.11, async/await architecture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18 with pgvector extension — 1,536-dimensional embeddings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LLM Inference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OpenAI GPT-4o — all 18 agents; structured output with Pydantic v2 schemas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text-embedding-3-small — 1,536 dimensions, 2k chunk / 400 overlap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NextAuth.js v5 with JWT + database 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chained audit_logs — immutable, INSERT-only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Vector Index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pgvector ivfflat, lists=100, probes=10 — ~90% recall</w:t>
            </w:r>
          </w:p>
        </w:tc>
      </w:tr>
    </w:tbl>
    <w:p/>
    <w:p>
      <w:pPr>
        <w:spacing w:before="280" w:after="80"/>
      </w:pPr>
      <w:r>
        <w:rPr>
          <w:b/>
          <w:color w:val="1E3A8A"/>
          <w:sz w:val="30"/>
        </w:rPr>
        <w:t>3.2 The 18-Agent Intelligence Suite</w:t>
      </w:r>
    </w:p>
    <w:p>
      <w:pPr>
        <w:spacing w:after="120"/>
      </w:pPr>
      <w:r>
        <w:rPr>
          <w:color w:val="0F172A"/>
          <w:sz w:val="22"/>
        </w:rPr>
        <w:t>TransformHub's value is delivered through a coordinated suite of 18 specialised LangGraph agents, each owning a distinct transformation intelligence domain and communicating exclusively through the shared PostgreSQL knowledge 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US Bank Deployment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Discovery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products, 47 capabilities, 200+ functionalities mapped in &lt; 4 hours (vs 6 weeks manual)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Lean VSM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Current-state VSM for all 12 products; 34% baseline PCE identified; 5 major waste categories surfaced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Future State Vision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Benchmark-grounded roadmaps with 3-band projections; ISO 20022 dependency captured via HITL memory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Risk &amp; Compliance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23-item risk register for Online Banking Portal in 58s; 2 previously uncatalogued APRA CPS 234 risks identified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Transformation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Product-specific modernisation strategies for all 12 products; cloud migration sequencing recommended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Architecture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API-first architecture recommendations; microservices decomposition plan for 3 monolithic products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Capability Maturity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Maturity scores across 47 capabilities; 12 capabilities in "Initial" state requiring immediate investment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Initiative Prioritisation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RICE-scored portfolio of 34 initiatives; top-5 priorities aligned to $240M board submission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Transformation Roadmap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18-month phased roadmap across 3 segments; 97% milestone coverage vs manually produced equivalent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Benchmark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Continuous comparison vs Gartner/McKinsey/Fintech Australia benchmarks; PCE gap of 24 percentage points identified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Executive Reporting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Board-ready C-suite report in &lt; 15 minutes; approved as primary reporting artefact by CDO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Human Gate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INTERRUPT nodes active for Future State + Architecture agents; all 14 HITL reviews completed within 4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Memory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 org-specific memories accumulated; human edit rate declined 74% over 6 months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Accuracy Scoring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Portfolio average accuracy 84.5% at Month 6; per-module scores displayed on live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 Output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312 AGENT_OUTPUT documents auto-saved, 18,400 chunks indexed, compounding RAG quality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BM25 Retrieval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BM25 reranking improved regulatory clause retrieval precision by 35% for Risk agent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Context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12k char budget; category-aware allocation per agent; benchmark docs prioritised for Future State runs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Audit Trail Agent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Complete 6-month audit trail exported in 14 seconds for annual IT audit; chain integrity verified</w:t>
            </w:r>
          </w:p>
        </w:tc>
      </w:tr>
    </w:tbl>
    <w:p/>
    <w:p>
      <w:pPr>
        <w:spacing w:before="280" w:after="80"/>
      </w:pPr>
      <w:r>
        <w:rPr>
          <w:b/>
          <w:color w:val="1E3A8A"/>
          <w:sz w:val="30"/>
        </w:rPr>
        <w:t>3.3 Key Platform Enhancements Applied</w:t>
      </w:r>
    </w:p>
    <w:p>
      <w:pPr>
        <w:spacing w:after="120"/>
      </w:pPr>
      <w:r>
        <w:rPr>
          <w:color w:val="0F172A"/>
          <w:sz w:val="22"/>
        </w:rPr>
        <w:t>The US Bank deployment benefited from several critical platform enhancements that materially improved output quality: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RAG Context Expansion (4k → 12k chars):</w:t>
      </w:r>
      <w:r>
        <w:rPr>
          <w:color w:val="0F172A"/>
          <w:sz w:val="21"/>
        </w:rPr>
        <w:t xml:space="preserve"> Enabled full regulatory framework context injection for risk assessments; APRA CPS 234 complete text retrievable in single agent run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Hybrid BM25 + Vector Retrieval:</w:t>
      </w:r>
      <w:r>
        <w:rPr>
          <w:color w:val="0F172A"/>
          <w:sz w:val="21"/>
        </w:rPr>
        <w:t xml:space="preserve"> 35% improvement in regulatory clause precision; exact regulatory references (e.g., "CPS 234 §42.b") reliably surfaced regardless of semantic distance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Multi-Query Strategy (3–5 parallel queries):</w:t>
      </w:r>
      <w:r>
        <w:rPr>
          <w:color w:val="0F172A"/>
          <w:sz w:val="21"/>
        </w:rPr>
        <w:t xml:space="preserve"> 40% improvement in overall context relevance; benchmark documents consistently retrieved for Future State runs even when queries were broadly phrased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Chunk Size Increase (1k → 2k chars, 400-char overlap):</w:t>
      </w:r>
      <w:r>
        <w:rPr>
          <w:color w:val="0F172A"/>
          <w:sz w:val="21"/>
        </w:rPr>
        <w:t xml:space="preserve"> Preserved multi-sentence regulatory arguments and case study findings within single chunks; eliminated fragmented context that caused incomplete risk identification in earlier system version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Agent Memory System:</w:t>
      </w:r>
      <w:r>
        <w:rPr>
          <w:color w:val="0F172A"/>
          <w:sz w:val="21"/>
        </w:rPr>
        <w:t xml:space="preserve"> 47 org-specific memories; ISO 20022 dependency captured and reused across 3 subsequent agent runs without re-prompting; compliance classification system captured and applied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Benchmark-Grounded Future State:</w:t>
      </w:r>
      <w:r>
        <w:rPr>
          <w:color w:val="0F172A"/>
          <w:sz w:val="21"/>
        </w:rPr>
        <w:t xml:space="preserve"> "🎯 Benchmark-grounded" badge on all projected metrics sourced from Gartner/McKinsey uploads; eliminated board objections to unsubstantiated projections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SHA-256 Chained Audit Trail:</w:t>
      </w:r>
      <w:r>
        <w:rPr>
          <w:color w:val="0F172A"/>
          <w:sz w:val="21"/>
        </w:rPr>
        <w:t xml:space="preserve"> Annual IT audit completed in &lt; 1 business day (vs 3-week manual process previously)</w:t>
      </w:r>
    </w:p>
    <w:p>
      <w:pPr>
        <w:spacing w:before="360" w:after="120"/>
      </w:pPr>
      <w:r>
        <w:rPr>
          <w:b/>
          <w:color w:val="0C1C3A"/>
          <w:sz w:val="44"/>
        </w:rPr>
        <w:t>4. Results &amp; Outcomes</w:t>
      </w:r>
    </w:p>
    <w:p>
      <w:pPr>
        <w:spacing w:before="280" w:after="80"/>
      </w:pPr>
      <w:r>
        <w:rPr>
          <w:b/>
          <w:color w:val="1E3A8A"/>
          <w:sz w:val="30"/>
        </w:rPr>
        <w:t>4.1 Quantified Business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Before TransformHub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After TransformHub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Transformation Assessment Cost (per product)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$380,000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−97%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Time: Portfolio Discovery (all 12 products)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6 weeks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&lt; 4 hours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b/>
                <w:color w:val="2563EB"/>
                <w:sz w:val="18"/>
              </w:rPr>
              <w:t>−98%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Time: VSM Analysis (one product)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 seconds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−99.97%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Time: Risk Assessment (one product)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58 seconds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b/>
                <w:color w:val="2563EB"/>
                <w:sz w:val="18"/>
              </w:rPr>
              <w:t>−99.96%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Time: Executive Board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15 minutes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−99%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Transformation Portfolio Visibility Lag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b/>
                <w:color w:val="2563EB"/>
                <w:sz w:val="18"/>
              </w:rPr>
              <w:t>−100%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Regulatory Risk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+31 ppts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Agent Output Human Edit Rate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43% (Month 1)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11% (Month 6)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b/>
                <w:color w:val="2563EB"/>
                <w:sz w:val="18"/>
              </w:rPr>
              <w:t>−74%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Portfolio Avg. Accuracy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 (new)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84.5%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18"/>
              </w:rPr>
              <w:t>Baseline established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Annual Consulting Assessment Spend Reduction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$4.8M/year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$0.6M/year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b/>
                <w:color w:val="2563EB"/>
                <w:sz w:val="18"/>
              </w:rPr>
              <w:t>−$4.2M/year</w:t>
            </w:r>
          </w:p>
        </w:tc>
      </w:tr>
    </w:tbl>
    <w:p/>
    <w:p>
      <w:pPr>
        <w:spacing w:before="280" w:after="80"/>
      </w:pPr>
      <w:r>
        <w:rPr>
          <w:b/>
          <w:color w:val="1E3A8A"/>
          <w:sz w:val="30"/>
        </w:rPr>
        <w:t>4.2 Strategic Outcomes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$240M transformation investment approved</w:t>
      </w:r>
      <w:r>
        <w:rPr>
          <w:color w:val="0F172A"/>
          <w:sz w:val="21"/>
        </w:rPr>
        <w:t xml:space="preserve"> — first board investment submission to include AI-generated, benchmark-grounded, confidence-scored business case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Board confidence restored</w:t>
      </w:r>
      <w:r>
        <w:rPr>
          <w:color w:val="0F172A"/>
          <w:sz w:val="21"/>
        </w:rPr>
        <w:t xml:space="preserve"> — 2 board members who had requested independent review withdrew request after reviewing TransformHub accuracy scores and audit trail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Consulting engagement model transformed</w:t>
      </w:r>
      <w:r>
        <w:rPr>
          <w:color w:val="0F172A"/>
          <w:sz w:val="21"/>
        </w:rPr>
        <w:t xml:space="preserve"> — external consultants now validate and act on TransformHub intelligence rather than conducting discovery; average engagement value increased 40% while total spend decreased 87%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Institutional knowledge created</w:t>
      </w:r>
      <w:r>
        <w:rPr>
          <w:color w:val="0F172A"/>
          <w:sz w:val="21"/>
        </w:rPr>
        <w:t xml:space="preserve"> — 47 agent memories representing 6 months of structured organisational learning; accessible to all new team members immediately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ISO 20022 risk mitigated</w:t>
      </w:r>
      <w:r>
        <w:rPr>
          <w:color w:val="0F172A"/>
          <w:sz w:val="21"/>
        </w:rPr>
        <w:t xml:space="preserve"> — HITL gate capture of payments infrastructure dependency prevented estimated $18M in rework from concurrent architecture conflict</w:t>
      </w:r>
    </w:p>
    <w:p>
      <w:pPr>
        <w:spacing w:before="280" w:after="80"/>
      </w:pPr>
      <w:r>
        <w:rPr>
          <w:b/>
          <w:color w:val="1E3A8A"/>
          <w:sz w:val="30"/>
        </w:rPr>
        <w:t>4.3 ROI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ROI Component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 (Year 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 cost reduction (consulting fees avoided)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$4.2M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Delivery acceleration value (earlier feature revenue)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$8.7M (estimated)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 mitigation value (ISO 20022 conflict avoided)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$18.0M (estimated)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Compliance exposure reduction (APRA/PCI findings pre-empted)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$6.5M (estimated)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Executive reporting efficiency (analyst time recovered)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$0.8M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Total Year 1 Value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$38.2M (estimated)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Year 1 Platform Investment (licensing + implementation)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$2.1M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Year 1 ROI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1,719%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Payback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3 weeks</w:t>
            </w:r>
          </w:p>
        </w:tc>
      </w:tr>
    </w:tbl>
    <w:p/>
    <w:p>
      <w:pPr>
        <w:spacing w:before="360" w:after="120"/>
      </w:pPr>
      <w:r>
        <w:rPr>
          <w:b/>
          <w:color w:val="0C1C3A"/>
          <w:sz w:val="44"/>
        </w:rPr>
        <w:t>5. Lessons Learned &amp; Success Factors</w:t>
      </w:r>
    </w:p>
    <w:p>
      <w:pPr>
        <w:spacing w:before="280" w:after="80"/>
      </w:pPr>
      <w:r>
        <w:rPr>
          <w:b/>
          <w:color w:val="1E3A8A"/>
          <w:sz w:val="30"/>
        </w:rPr>
        <w:t>5.1 Critical Success Factors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Executive sponsorship:</w:t>
      </w:r>
      <w:r>
        <w:rPr>
          <w:color w:val="0F172A"/>
          <w:sz w:val="21"/>
        </w:rPr>
        <w:t xml:space="preserve"> CDO Sarah Mitchell was an active platform user, not just a sponsor. Her HITL gate interactions drove the most valuable agent memory entries.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Knowledge base investment:</w:t>
      </w:r>
      <w:r>
        <w:rPr>
          <w:color w:val="0F172A"/>
          <w:sz w:val="21"/>
        </w:rPr>
        <w:t xml:space="preserve"> The team dedicated 3 days to uploading benchmark documents and regulatory frameworks before running any agents. This upfront investment in the RAG corpus drove a measurable step-change in output quality.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HITL governance culture:</w:t>
      </w:r>
      <w:r>
        <w:rPr>
          <w:color w:val="0F172A"/>
          <w:sz w:val="21"/>
        </w:rPr>
        <w:t xml:space="preserve"> The team embraced rather than bypassed the HITL gates. The 14 gate interactions over 6 months generated 23 of the platform's most valuable agent memories.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Iterative trust building:</w:t>
      </w:r>
      <w:r>
        <w:rPr>
          <w:color w:val="0F172A"/>
          <w:sz w:val="21"/>
        </w:rPr>
        <w:t xml:space="preserve"> The team started with Discovery Agent, validated outputs manually, then progressively extended trust to VSM, Future State, and Risk agents as accuracy scores accumulated.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</w:r>
      <w:r>
        <w:rPr>
          <w:b/>
          <w:color w:val="0F172A"/>
          <w:sz w:val="21"/>
        </w:rPr>
        <w:t>Segment-first approach:</w:t>
      </w:r>
      <w:r>
        <w:rPr>
          <w:color w:val="0F172A"/>
          <w:sz w:val="21"/>
        </w:rPr>
        <w:t xml:space="preserve"> Running Discovery and VSM per business segment rather than across the full portfolio allowed the team to validate quality before committing the full transformation programme to AI-generated intelligence.</w:t>
      </w:r>
    </w:p>
    <w:p>
      <w:pPr>
        <w:spacing w:before="280" w:after="80"/>
      </w:pPr>
      <w:r>
        <w:rPr>
          <w:b/>
          <w:color w:val="1E3A8A"/>
          <w:sz w:val="30"/>
        </w:rPr>
        <w:t>5.2 What Worked Exceptionally Well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 xml:space="preserve">The </w:t>
      </w:r>
      <w:r>
        <w:rPr>
          <w:b/>
          <w:color w:val="0F172A"/>
          <w:sz w:val="21"/>
        </w:rPr>
        <w:t>benchmark-grounded future state</w:t>
      </w:r>
      <w:r>
        <w:rPr>
          <w:color w:val="0F172A"/>
          <w:sz w:val="21"/>
        </w:rPr>
        <w:t xml:space="preserve"> eliminated the most common objection to transformation roadmaps at US Bank: "where do these numbers come from?"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 xml:space="preserve">The </w:t>
      </w:r>
      <w:r>
        <w:rPr>
          <w:b/>
          <w:color w:val="0F172A"/>
          <w:sz w:val="21"/>
        </w:rPr>
        <w:t>agent memory learning loop</w:t>
      </w:r>
      <w:r>
        <w:rPr>
          <w:color w:val="0F172A"/>
          <w:sz w:val="21"/>
        </w:rPr>
        <w:t xml:space="preserve"> reduced the operational burden on senior executives over time — the system learned their preferences so they didn't have to repeat themselves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 xml:space="preserve">The </w:t>
      </w:r>
      <w:r>
        <w:rPr>
          <w:b/>
          <w:color w:val="0F172A"/>
          <w:sz w:val="21"/>
        </w:rPr>
        <w:t>SHA-256 audit trail</w:t>
      </w:r>
      <w:r>
        <w:rPr>
          <w:color w:val="0F172A"/>
          <w:sz w:val="21"/>
        </w:rPr>
        <w:t xml:space="preserve"> was a decisive factor in board acceptance of AI-generated analysis. The chain's tamper-evidence was cited explicitly by the compliance team.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 xml:space="preserve">The </w:t>
      </w:r>
      <w:r>
        <w:rPr>
          <w:b/>
          <w:color w:val="0F172A"/>
          <w:sz w:val="21"/>
        </w:rPr>
        <w:t>hybrid RAG pipeline</w:t>
      </w:r>
      <w:r>
        <w:rPr>
          <w:color w:val="0F172A"/>
          <w:sz w:val="21"/>
        </w:rPr>
        <w:t xml:space="preserve"> with BM25 enhancement was critical for regulatory use cases — exact regulatory clause references could not be reliably surfaced with vector search alone</w:t>
      </w:r>
    </w:p>
    <w:p>
      <w:pPr>
        <w:spacing w:before="280" w:after="80"/>
      </w:pPr>
      <w:r>
        <w:rPr>
          <w:b/>
          <w:color w:val="1E3A8A"/>
          <w:sz w:val="30"/>
        </w:rPr>
        <w:t>5.3 Areas for Further Development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Real-time agent streaming (SSE) would improve user experience during longer agent runs — planned for v1.1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SSO/SAML integration with the bank's Okta environment would simplify user provisioning — planned for v1.2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Jira bidirectional integration would allow TransformHub initiatives to sync directly to delivery backlogs — planned for v2.0</w:t>
      </w:r>
    </w:p>
    <w:p>
      <w:pPr>
        <w:pStyle w:val="ListBullet"/>
        <w:spacing w:after="60"/>
        <w:ind w:left="432"/>
      </w:pPr>
      <w:r>
        <w:rPr>
          <w:color w:val="0F172A"/>
          <w:sz w:val="21"/>
        </w:rPr>
        <w:t>Azure OpenAI as fallback to address data residency requirements for certain Institutional Banking data classifications — planned for v1.2</w:t>
      </w:r>
    </w:p>
    <w:p>
      <w:pPr>
        <w:spacing w:before="360" w:after="120"/>
      </w:pPr>
      <w:r>
        <w:rPr>
          <w:b/>
          <w:color w:val="0C1C3A"/>
          <w:sz w:val="44"/>
        </w:rPr>
        <w:t>6. Client Statement</w:t>
      </w:r>
    </w:p>
    <w:p>
      <w:pPr>
        <w:spacing w:before="200" w:after="200"/>
        <w:ind w:left="720" w:right="720"/>
        <w:shd w:val="clear" w:color="auto" w:fill="DBEAFE"/>
      </w:pPr>
      <w:r>
        <w:rPr>
          <w:i/>
          <w:color w:val="1E3A8A"/>
          <w:sz w:val="24"/>
        </w:rPr>
        <w:t>"TransformHub fundamentally changed what transformation intelligence means at US Bank. We went from commissioning quarterly snapshots at enormous cost to having a live, continuously learning system that knows our organisation. The board approved a $240 million investment programme based on intelligence this platform generated in four hours. That's not incremental improvement — that's a step change in how we operate."</w:t>
      </w:r>
      <w:r>
        <w:rPr>
          <w:sz w:val="18"/>
        </w:rPr>
        <w:br/>
        <w:t>— Sarah Mitchell, Chief Digital Officer, US Bank</w:t>
      </w:r>
    </w:p>
    <w:p>
      <w:pPr>
        <w:spacing w:after="120"/>
      </w:pPr>
      <w:r>
        <w:rPr>
          <w:color w:val="0F172A"/>
          <w:sz w:val="22"/>
        </w:rPr>
        <w:t>For further information about the TransformHub platform or this case study, contact the TransformHub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