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</w:pPr>
      <w:r>
        <w:rPr>
          <w:rFonts w:ascii="Calibri" w:hAnsi="Calibri"/>
          <w:b/>
          <w:i w:val="0"/>
          <w:color w:val="0F2D5E"/>
          <w:sz w:val="40"/>
        </w:rPr>
        <w:t>Case Study: US Bank — Team Phoenix</w:t>
      </w:r>
    </w:p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42-Day Lead Time to 8 Days in 18 Months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Industry: Financial Services — Banking | Team: Payments &amp; Transfers (Team Phoenix) | Platform: PDLC VSM Platform Option B</w:t>
      </w:r>
    </w:p>
    <w:p>
      <w:pPr>
        <w:spacing w:before="60" w:after="60"/>
        <w:pBdr>
          <w:bottom w:val="single" w:sz="6" w:space="1" w:color="2563EB"/>
        </w:pBdr>
      </w:pPr>
    </w:p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The Challenge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US Bank's Team Phoenix — a 45-person engineering team responsible for the Payments &amp; Transfers product group — was operating at 8.1% flow efficiency with a 42-day average lead time from feature request to production deployment. Despite a talented team, strong tooling (GitHub Enterprise, Jira, GitHub Actions, AWS), and a mature Agile process (SAFe), the team was consistently missing quarterly release commitments and accumulating a growing backlog of customer-impacting defects. A 12% change failure rate was consuming 2+ days of incident recovery per deployment cycle.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CTO identified three board-level symptoms: time-to-market was 3× slower than digital-native competitors, compliance incidents were increasing, and engineering headcount was growing without proportional output improvement. The hypothesis was that the problem was not talent or tooling — it was invisible PDLC waste. But without a quantified baseline, making the case for transformation investment was impossible.</w:t>
      </w:r>
    </w:p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The Approach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Team Phoenix engaged the PDLC VSM Platform for a 4-week assessment followed by an 18-month Option B transformation programme. The engagement was structured in three phases:</w:t>
      </w:r>
    </w:p>
    <w:p>
      <w:pPr>
        <w:spacing w:before="160" w:after="60"/>
      </w:pPr>
      <w:r>
        <w:rPr>
          <w:rFonts w:ascii="Calibri" w:hAnsi="Calibri"/>
          <w:b/>
          <w:i w:val="0"/>
          <w:color w:val="0D9488"/>
          <w:sz w:val="24"/>
        </w:rPr>
        <w:t>Phase 1 — VSM Assessment &amp; Baseline (Weeks 1–4)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Exported 12 months of Jira ticket history (2,847 tickets across 24 sprints)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Configured 4 DORA data sources: GitHub, Splunk, SonarQube, PagerDuty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Completed 73-question DORA assessment (score: 2.0/5 — WALK band)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Generated 7-phase current-state VSM: 130h PT, 600h WT, 17.8% FE, 46.4-day LT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Identified 5 critical/high bottlenecks — Phase 5 (240h WT) as primary target</w:t>
      </w:r>
    </w:p>
    <w:p>
      <w:pPr>
        <w:spacing w:before="160" w:after="60"/>
      </w:pPr>
      <w:r>
        <w:rPr>
          <w:rFonts w:ascii="Calibri" w:hAnsi="Calibri"/>
          <w:b/>
          <w:i w:val="0"/>
          <w:color w:val="0D9488"/>
          <w:sz w:val="24"/>
        </w:rPr>
        <w:t>Phase 2 — Quick Wins &amp; Core Transformation (Months 2–12)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Deployed AI UAT Assistant (Phase 5): WT 240h → 48h in 8 weeks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Deployed ReviewAgent (Phase 3): WT 18h → 5h; PR review time reduced 72%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Deployed AI Release Manager (Phase 6): WT 56h → 14h; CAB gate automated 65%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Deployed AI Design Reviewer (Phase 2): WT 176h → 58h via async review workflow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Full 8-agent Phase 5 deployment achieved 31% overall FE improvement by Month 6</w:t>
      </w:r>
    </w:p>
    <w:p>
      <w:pPr>
        <w:spacing w:before="160" w:after="60"/>
      </w:pPr>
      <w:r>
        <w:rPr>
          <w:rFonts w:ascii="Calibri" w:hAnsi="Calibri"/>
          <w:b/>
          <w:i w:val="0"/>
          <w:color w:val="0D9488"/>
          <w:sz w:val="24"/>
        </w:rPr>
        <w:t>Phase 3 — Scale &amp; Embed (Months 13–18)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Deployed 7 additional agents (total 15) targeting Phases 1, 2, and 7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Achieved 61% flow efficiency — Phase 5 FE improved from 11.4% to 39.2%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Lead time reduced from 46.4 days to 8.1 days — 83% reduction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Deployed to 3 additional teams in the Digital Banking portfolio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Centre of Excellence established; VSM Practice Lead role created</w:t>
      </w:r>
    </w:p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Metric</w:t>
            </w:r>
          </w:p>
        </w:tc>
        <w:tc>
          <w:tcPr>
            <w:tcW w:type="dxa" w:w="216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Before (Week 0)</w:t>
            </w:r>
          </w:p>
        </w:tc>
        <w:tc>
          <w:tcPr>
            <w:tcW w:type="dxa" w:w="216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After (Month 18)</w:t>
            </w:r>
          </w:p>
        </w:tc>
        <w:tc>
          <w:tcPr>
            <w:tcW w:type="dxa" w:w="216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Improvement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Overall Flow Efficiency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8.1%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61%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+52.9 percentage points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Total Lead Time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46.4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8.1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−83%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Phase 5 Wait Time (Testing)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240 hours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48 hours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−80%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Band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WALK (2.0/5)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High (3.8/5)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+1.8 bands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Change Failure Rate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12%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4.2%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−65%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MTTR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2.3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5.2 hours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−90%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Deployment Frequency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Bi-weekly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Daily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8× increase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Annual Benefits Realised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$8.4M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4.2× ROI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Lessons Learned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Start with Phase 5 (Testing): the largest wait time in regulated industries — the ROI is highest and fastest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DORA calibration is essential: without it, the VSM overstates FE% because ALM cycle time includes non-working days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AI UAT Assistant requires 3–4 weeks of configuration for compliance environments — budget this in the pilot plan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Change management was underestimated: the 'AI is taking our jobs' concern required a 6-week communications programme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The benefits realisation tracker was the most-viewed artefact by the CFO — invest time in making it clear and frequent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