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</w:pPr>
      <w:r>
        <w:rPr>
          <w:rFonts w:ascii="Calibri" w:hAnsi="Calibri"/>
          <w:b/>
          <w:i w:val="0"/>
          <w:color w:val="0F2D5E"/>
          <w:sz w:val="40"/>
        </w:rPr>
        <w:t>PDLC VSM Platform — Commercial Model &amp; Pricing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Three investment tiers designed to match where your organisation is in its transformation journey.</w:t>
      </w:r>
    </w:p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STARTER — $150,000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Duration: 4-week assessment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1 engineering team assessed end-to-end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ALM data ingestion and 7-phase VSM baseline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73-question DORA assessment with AI scoring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Top 5 bottleneck cards with root cause analysis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3 future-state options (A/B/C) modelled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Full business case with ROI, payback, NPV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Implementation playbook for recommended option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6 months platform access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2 platform configuration and training sessions</w:t>
      </w:r>
    </w:p>
    <w:p/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PROFESSIONAL — $450,000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Duration: 18-week transformation programme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Up to 5 engineering teams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All Starter deliverables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Full Option B transformation programme (15 agents)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Quick wins deployed in first 90 days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Change management programme and communications plan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Ongoing coaching: bi-weekly review cadence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Benefits realisation tracking (monthly reports)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12 months platform access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Access for up to 25 users</w:t>
      </w:r>
    </w:p>
    <w:p/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ENTERPRISE — $1,200,000+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Duration: 18-month enterprise programme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Enterprise-wide deployment (unlimited teams)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All Professional deliverables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Centre of Excellence setup and enablement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Multi-portfolio VSM aggregation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Dedicated transformation advisory (2 days/month)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Custom agent development (up to 3 bespoke agents)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Executive quarterly business reviews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Unlimited platform access and users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Annual renewal at $300K/year</w:t>
      </w:r>
    </w:p>
    <w:p/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Outcome-Based Commercial Model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For organisations that prefer to align payment with delivered results, we offer an outcome-based model structured around three benefit milestones: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Milestone</w:t>
            </w:r>
          </w:p>
        </w:tc>
        <w:tc>
          <w:tcPr>
            <w:tcW w:type="dxa" w:w="4032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Trigger</w:t>
            </w:r>
          </w:p>
        </w:tc>
        <w:tc>
          <w:tcPr>
            <w:tcW w:type="dxa" w:w="2160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Payment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Baseline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baseline report delivered and accepted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$75,000 (fixed)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Quick Wins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FE% improved by ≥15 points OR LT reduced by ≥30% within 90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$150,000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Transformation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FE% ≥40% OR LT reduced ≥60% by Month 18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$275,000 + 8% of Year 1 benefits above threshold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sz w:val="21"/>
        </w:rPr>
        <w:t>Note: Outcome-based model available for Professional and Enterprise tiers only. Requires access to ALM data for independent verification.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