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120"/>
      </w:pPr>
      <w:r>
        <w:rPr>
          <w:rFonts w:ascii="Calibri" w:hAnsi="Calibri"/>
          <w:b/>
          <w:i w:val="0"/>
          <w:color w:val="0F2D5E"/>
          <w:sz w:val="40"/>
        </w:rPr>
        <w:t>PDLC VSM Platform — Engagement Model Overview</w:t>
      </w:r>
    </w:p>
    <w:p>
      <w:pPr>
        <w:spacing w:before="240" w:after="80"/>
      </w:pPr>
      <w:r>
        <w:rPr>
          <w:rFonts w:ascii="Calibri" w:hAnsi="Calibri"/>
          <w:b/>
          <w:i w:val="0"/>
          <w:color w:val="2563EB"/>
          <w:sz w:val="28"/>
        </w:rPr>
        <w:t>Phase 1 — VSM Assessment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Duration: 4 weeks  |  Investment: $150K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Establish a quantified current-state baseline with DORA calibration, benchmark comparison, and funded transformation business case.</w:t>
      </w:r>
    </w:p>
    <w:p>
      <w:pPr>
        <w:spacing w:before="160" w:after="60"/>
      </w:pPr>
      <w:r>
        <w:rPr>
          <w:rFonts w:ascii="Calibri" w:hAnsi="Calibri"/>
          <w:b/>
          <w:i w:val="0"/>
          <w:color w:val="0D9488"/>
          <w:sz w:val="24"/>
        </w:rPr>
        <w:t>Activities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Week 1: Project kickoff, platform setup, ALM data ingestion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Week 2: DORA 73-question assessment with data source configuration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Week 3: Current-state VSM review, bottleneck analysis workshop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Week 4: Future state modelling, business case build, readout preparation</w:t>
      </w:r>
    </w:p>
    <w:p>
      <w:pPr>
        <w:spacing w:before="160" w:after="60"/>
      </w:pPr>
      <w:r>
        <w:rPr>
          <w:rFonts w:ascii="Calibri" w:hAnsi="Calibri"/>
          <w:b/>
          <w:i w:val="0"/>
          <w:color w:val="0D9488"/>
          <w:sz w:val="24"/>
        </w:rPr>
        <w:t>Deliverables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7-phase current-state VSM with FE%, PT, WT per phase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DORA maturity score (4 dimensions) with calibration values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Top 5 bottleneck cards with AI root cause analysis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3 future-state scenarios (A/B/C) with projected metrics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ROI business case: investment, benefits, payback, NPV, IRR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AI-generated implementation playbook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Executive readout deck (12 slides)</w:t>
      </w:r>
    </w:p>
    <w:p/>
    <w:p>
      <w:pPr>
        <w:spacing w:before="240" w:after="80"/>
      </w:pPr>
      <w:r>
        <w:rPr>
          <w:rFonts w:ascii="Calibri" w:hAnsi="Calibri"/>
          <w:b/>
          <w:i w:val="0"/>
          <w:color w:val="2563EB"/>
          <w:sz w:val="28"/>
        </w:rPr>
        <w:t>Phase 2 — Pilot Transformation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Duration: 12 weeks  |  Investment: $300K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Deploy Quick Win AI agents targeting the top 3 bottlenecks. Demonstrate measurable FE% improvement and establish the change management framework.</w:t>
      </w:r>
    </w:p>
    <w:p>
      <w:pPr>
        <w:spacing w:before="160" w:after="60"/>
      </w:pPr>
      <w:r>
        <w:rPr>
          <w:rFonts w:ascii="Calibri" w:hAnsi="Calibri"/>
          <w:b/>
          <w:i w:val="0"/>
          <w:color w:val="0D9488"/>
          <w:sz w:val="24"/>
        </w:rPr>
        <w:t>Activities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Weeks 1–3: AI UAT Assistant deployment and testing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Weeks 4–6: ReviewAgent and AI Release Manager configuration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Weeks 7–9: Change management programme launch, team training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Weeks 10–12: Measurement, retrospective, Phase 3 planning</w:t>
      </w:r>
    </w:p>
    <w:p>
      <w:pPr>
        <w:spacing w:before="160" w:after="60"/>
      </w:pPr>
      <w:r>
        <w:rPr>
          <w:rFonts w:ascii="Calibri" w:hAnsi="Calibri"/>
          <w:b/>
          <w:i w:val="0"/>
          <w:color w:val="0D9488"/>
          <w:sz w:val="24"/>
        </w:rPr>
        <w:t>Deliverables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3 AI agents deployed and operational (Quick Wins)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FE% baseline vs. 12-week comparison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Benefits realisation tracking (month 1 evidence)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Change management programme (stakeholder map, comms plan)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Phase 3 implementation plan</w:t>
      </w:r>
    </w:p>
    <w:p/>
    <w:p>
      <w:pPr>
        <w:spacing w:before="240" w:after="80"/>
      </w:pPr>
      <w:r>
        <w:rPr>
          <w:rFonts w:ascii="Calibri" w:hAnsi="Calibri"/>
          <w:b/>
          <w:i w:val="0"/>
          <w:color w:val="2563EB"/>
          <w:sz w:val="28"/>
        </w:rPr>
        <w:t>Phase 3 — Scale &amp; Embed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Duration: Ongoing | 12 months  |  Investment: $200K/qtr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Expand to full transformation (15 agents, all 7 phases), multi-team rollout, and Centre of Excellence establishment.</w:t>
      </w:r>
    </w:p>
    <w:p>
      <w:pPr>
        <w:spacing w:before="160" w:after="60"/>
      </w:pPr>
      <w:r>
        <w:rPr>
          <w:rFonts w:ascii="Calibri" w:hAnsi="Calibri"/>
          <w:b/>
          <w:i w:val="0"/>
          <w:color w:val="0D9488"/>
          <w:sz w:val="24"/>
        </w:rPr>
        <w:t>Activities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Months 1–3: Remaining 12-agent deployment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Months 4–6: 3-team expansion and cross-team benchmarking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Months 7–9: CoE setup and VSM Practice Lead enablement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Months 10–12: Benefits realisation review and annual programme plan</w:t>
      </w:r>
    </w:p>
    <w:p>
      <w:pPr>
        <w:spacing w:before="160" w:after="60"/>
      </w:pPr>
      <w:r>
        <w:rPr>
          <w:rFonts w:ascii="Calibri" w:hAnsi="Calibri"/>
          <w:b/>
          <w:i w:val="0"/>
          <w:color w:val="0D9488"/>
          <w:sz w:val="24"/>
        </w:rPr>
        <w:t>Deliverables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Full 15-agent deployment operational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3+ teams on platform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Centre of Excellence operating model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Annual benefits report (vs. business case targets)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Renewal and expansion proposal</w:t>
      </w:r>
    </w:p>
    <w:p/>
    <w:p>
      <w:pPr>
        <w:spacing w:before="240" w:after="80"/>
      </w:pPr>
      <w:r>
        <w:rPr>
          <w:rFonts w:ascii="Calibri" w:hAnsi="Calibri"/>
          <w:b/>
          <w:i w:val="0"/>
          <w:color w:val="2563EB"/>
          <w:sz w:val="28"/>
        </w:rPr>
        <w:t>Team Composition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600"/>
            <w:shd w:val="clear" w:color="auto" w:fill="0F2D5E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Role</w:t>
            </w:r>
          </w:p>
        </w:tc>
        <w:tc>
          <w:tcPr>
            <w:tcW w:type="dxa" w:w="2160"/>
            <w:shd w:val="clear" w:color="auto" w:fill="0F2D5E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Client</w:t>
            </w:r>
          </w:p>
        </w:tc>
        <w:tc>
          <w:tcPr>
            <w:tcW w:type="dxa" w:w="2160"/>
            <w:shd w:val="clear" w:color="auto" w:fill="0F2D5E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Consulting</w:t>
            </w:r>
          </w:p>
        </w:tc>
        <w:tc>
          <w:tcPr>
            <w:tcW w:type="dxa" w:w="1440"/>
            <w:shd w:val="clear" w:color="auto" w:fill="0F2D5E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Phase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Executive Sponsor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CTO / CDO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Programme Director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All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Programme Manager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VP Engineering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Engagement Manager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All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Platform Admin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DevOps Lead / Tech Lead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Platform Architect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1–2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VSM Facilitator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Engineering Manager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VSM Practitioner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1–2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Change Lead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HR / Change Manager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Change Consultant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2–3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Data Owner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Analytics / Data Lead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Data Analyst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1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Finance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CFO office rep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Business Case Lead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1,3</w:t>
            </w:r>
          </w:p>
        </w:tc>
      </w:tr>
    </w:tbl>
    <w:p/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