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400" w:after="120"/>
              <w:jc w:val="center"/>
            </w:pPr>
            <w:r>
              <w:rPr>
                <w:rFonts w:ascii="Calibri" w:hAnsi="Calibri"/>
                <w:b/>
                <w:i w:val="0"/>
                <w:color w:val="FFFFFF"/>
                <w:sz w:val="44"/>
              </w:rPr>
              <w:t>AI-Powered PDLC Transformation</w:t>
            </w:r>
          </w:p>
          <w:p>
            <w:pPr>
              <w:jc w:val="center"/>
            </w:pPr>
            <w:r>
              <w:rPr>
                <w:rFonts w:ascii="Calibri" w:hAnsi="Calibri"/>
                <w:b w:val="0"/>
                <w:i w:val="0"/>
                <w:color w:val="DBEAFE"/>
                <w:sz w:val="26"/>
              </w:rPr>
              <w:t>GTM Pack — Set 1: CXO GTM Pack</w:t>
            </w:r>
          </w:p>
          <w:p>
            <w:pPr>
              <w:spacing w:after="400"/>
              <w:jc w:val="center"/>
            </w:pPr>
            <w:r>
              <w:rPr>
                <w:rFonts w:ascii="Calibri" w:hAnsi="Calibri"/>
                <w:b w:val="0"/>
                <w:i/>
                <w:color w:val="DBEAFE"/>
                <w:sz w:val="22"/>
              </w:rPr>
              <w:t>Document 02 of 10</w:t>
            </w:r>
          </w:p>
        </w:tc>
      </w:tr>
    </w:tbl>
    <w:p/>
    <w:p>
      <w:pPr>
        <w:jc w:val="center"/>
      </w:pPr>
      <w:r>
        <w:rPr>
          <w:rFonts w:ascii="Calibri" w:hAnsi="Calibri"/>
          <w:b/>
          <w:i w:val="0"/>
          <w:color w:val="0F2D5E"/>
          <w:sz w:val="52"/>
        </w:rPr>
        <w:t>CXO Discovery Question Bank</w:t>
      </w:r>
    </w:p>
    <w:p>
      <w:pPr>
        <w:jc w:val="center"/>
      </w:pPr>
      <w:r>
        <w:rPr>
          <w:rFonts w:ascii="Calibri" w:hAnsi="Calibri"/>
          <w:b w:val="0"/>
          <w:i/>
          <w:color w:val="2563EB"/>
          <w:sz w:val="28"/>
        </w:rPr>
        <w:t>20 Questions That Lead to Phase 1 Diagnose</w:t>
      </w:r>
    </w:p>
    <w:p>
      <w:pPr>
        <w:spacing w:before="60" w:after="60"/>
        <w:pBdr>
          <w:bottom w:val="single" w:sz="6" w:space="1" w:color="2563EB"/>
        </w:pBdr>
      </w:pPr>
    </w:p>
    <w:p>
      <w:pPr>
        <w:jc w:val="center"/>
      </w:pPr>
      <w:r>
        <w:rPr>
          <w:rFonts w:ascii="Calibri" w:hAnsi="Calibri"/>
          <w:b w:val="0"/>
          <w:i w:val="0"/>
          <w:color w:val="4B5563"/>
          <w:sz w:val="22"/>
        </w:rPr>
        <w:t>DIAGNOSE · DESIGN · DELIVER · Accelerated by AI</w:t>
      </w:r>
    </w:p>
    <w:p>
      <w:r>
        <w:br w:type="page"/>
      </w:r>
    </w:p>
    <w:p>
      <w:pPr>
        <w:spacing w:before="400" w:after="120"/>
      </w:pPr>
      <w:r>
        <w:rPr>
          <w:rFonts w:ascii="Calibri" w:hAnsi="Calibri"/>
          <w:b/>
          <w:i w:val="0"/>
          <w:color w:val="0F2D5E"/>
          <w:sz w:val="32"/>
        </w:rPr>
        <w:t>Purpose of This Question Bank</w:t>
      </w:r>
    </w:p>
    <w:p>
      <w:pPr>
        <w:spacing w:after="80"/>
      </w:pPr>
      <w:r>
        <w:rPr>
          <w:rFonts w:ascii="Calibri" w:hAnsi="Calibri"/>
          <w:b w:val="0"/>
          <w:i w:val="0"/>
          <w:sz w:val="21"/>
        </w:rPr>
        <w:t>These 20 structured discovery questions are designed to be used by consulting leads and account executives during executive conversations. They are sequenced to surface PDLC pain, quantify its cost, gauge transformation appetite, and build a natural case for engaging Phase 1: Diagnose.</w:t>
      </w:r>
    </w:p>
    <w:p>
      <w:pPr>
        <w:spacing w:after="80"/>
      </w:pPr>
      <w:r>
        <w:rPr>
          <w:rFonts w:ascii="Calibri" w:hAnsi="Calibri"/>
          <w:b w:val="0"/>
          <w:i w:val="0"/>
          <w:sz w:val="21"/>
        </w:rPr>
        <w:t>Each question is annotated with its strategic intent and the insight it generates toward selecting the right transformation option (A, B, or C) and closing Phase 1.</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Objective: Every conversation should end with the executive saying — 'We need to understand exactly what our PDLC is costing us. How do we start?'</w:t>
            </w:r>
          </w:p>
        </w:tc>
      </w:tr>
    </w:tbl>
    <w:p/>
    <w:p>
      <w:pPr>
        <w:spacing w:before="60" w:after="60"/>
        <w:pBdr>
          <w:bottom w:val="single" w:sz="6" w:space="1" w:color="2563EB"/>
        </w:pBdr>
      </w:pPr>
    </w:p>
    <w:p>
      <w:pPr>
        <w:spacing w:before="240" w:after="80"/>
      </w:pPr>
      <w:r>
        <w:rPr>
          <w:rFonts w:ascii="Calibri" w:hAnsi="Calibri"/>
          <w:b/>
          <w:i w:val="0"/>
          <w:color w:val="2563EB"/>
          <w:sz w:val="26"/>
        </w:rPr>
        <w:t>Theme 1: Understanding Current PDLC Pain</w:t>
      </w:r>
    </w:p>
    <w:p>
      <w:pPr>
        <w:spacing w:after="80"/>
      </w:pPr>
      <w:r>
        <w:rPr>
          <w:rFonts w:ascii="Calibri" w:hAnsi="Calibri"/>
          <w:b w:val="0"/>
          <w:i w:val="0"/>
          <w:sz w:val="21"/>
        </w:rPr>
        <w:t>Frame: Speed / Productivity / Quality. Goal: Surface the felt pain and connect it to a financial cost.</w:t>
      </w:r>
    </w:p>
    <w:p>
      <w:pPr>
        <w:spacing w:after="80"/>
      </w:pPr>
      <w:r>
        <w:rPr>
          <w:rFonts w:ascii="Calibri" w:hAnsi="Calibri"/>
          <w:b w:val="0"/>
          <w:i w:val="0"/>
          <w:sz w:val="21"/>
        </w:rPr>
        <w:t>These questions open the conversation. They should feel like genuine curiosity, not interrogation. Let the executive narrate. Note the specific numbers they quote — or, importantly, their inability to quote them.</w:t>
      </w:r>
    </w:p>
    <w:p>
      <w:pPr>
        <w:pStyle w:val="ListNumber"/>
        <w:spacing w:after="40"/>
        <w:ind w:left="432"/>
      </w:pPr>
      <w:r>
        <w:rPr>
          <w:rFonts w:ascii="Calibri" w:hAnsi="Calibri"/>
          <w:b w:val="0"/>
          <w:i w:val="0"/>
          <w:sz w:val="21"/>
        </w:rPr>
        <w:t>When a feature is committed to in planning, how long does it typically take to reach production? And how much of that time is actual engineering work versus waiting?</w:t>
      </w:r>
    </w:p>
    <w:p>
      <w:pPr>
        <w:pStyle w:val="ListBullet"/>
        <w:spacing w:after="40"/>
        <w:ind w:left="432"/>
      </w:pPr>
      <w:r>
        <w:rPr>
          <w:rFonts w:ascii="Calibri" w:hAnsi="Calibri"/>
          <w:b/>
          <w:i w:val="0"/>
          <w:sz w:val="21"/>
        </w:rPr>
        <w:t xml:space="preserve">Note: </w:t>
      </w:r>
      <w:r>
        <w:rPr>
          <w:rFonts w:ascii="Calibri" w:hAnsi="Calibri"/>
          <w:b w:val="0"/>
          <w:i w:val="0"/>
          <w:sz w:val="21"/>
        </w:rPr>
        <w:t>Intent: Reveal lead time and flow efficiency. Most executives will guess — very few know. The inability to answer is itself a pain signal.</w:t>
      </w:r>
    </w:p>
    <w:p>
      <w:pPr>
        <w:pStyle w:val="ListNumber"/>
        <w:spacing w:after="40"/>
        <w:ind w:left="432"/>
      </w:pPr>
      <w:r>
        <w:rPr>
          <w:rFonts w:ascii="Calibri" w:hAnsi="Calibri"/>
          <w:b w:val="0"/>
          <w:i w:val="0"/>
          <w:sz w:val="21"/>
        </w:rPr>
        <w:t>If I asked your VP of Engineering to tell me, today, the three biggest bottlenecks in your software delivery pipeline — with data to back them up — could they do it in under an hour?</w:t>
      </w:r>
    </w:p>
    <w:p>
      <w:pPr>
        <w:pStyle w:val="ListBullet"/>
        <w:spacing w:after="40"/>
        <w:ind w:left="432"/>
      </w:pPr>
      <w:r>
        <w:rPr>
          <w:rFonts w:ascii="Calibri" w:hAnsi="Calibri"/>
          <w:b/>
          <w:i w:val="0"/>
          <w:sz w:val="21"/>
        </w:rPr>
        <w:t xml:space="preserve">Note: </w:t>
      </w:r>
      <w:r>
        <w:rPr>
          <w:rFonts w:ascii="Calibri" w:hAnsi="Calibri"/>
          <w:b w:val="0"/>
          <w:i w:val="0"/>
          <w:sz w:val="21"/>
        </w:rPr>
        <w:t>Intent: Test data readiness and engineering visibility. The answer is almost always 'probably not, at least not with hard numbers.'</w:t>
      </w:r>
    </w:p>
    <w:p>
      <w:pPr>
        <w:pStyle w:val="ListNumber"/>
        <w:spacing w:after="40"/>
        <w:ind w:left="432"/>
      </w:pPr>
      <w:r>
        <w:rPr>
          <w:rFonts w:ascii="Calibri" w:hAnsi="Calibri"/>
          <w:b w:val="0"/>
          <w:i w:val="0"/>
          <w:sz w:val="21"/>
        </w:rPr>
        <w:t>How do your teams know when a process step is taking too long? Is there a threshold, an alert, a review cadence — or does it surface when something is late?</w:t>
      </w:r>
    </w:p>
    <w:p>
      <w:pPr>
        <w:pStyle w:val="ListBullet"/>
        <w:spacing w:after="40"/>
        <w:ind w:left="432"/>
      </w:pPr>
      <w:r>
        <w:rPr>
          <w:rFonts w:ascii="Calibri" w:hAnsi="Calibri"/>
          <w:b/>
          <w:i w:val="0"/>
          <w:sz w:val="21"/>
        </w:rPr>
        <w:t xml:space="preserve">Note: </w:t>
      </w:r>
      <w:r>
        <w:rPr>
          <w:rFonts w:ascii="Calibri" w:hAnsi="Calibri"/>
          <w:b w:val="0"/>
          <w:i w:val="0"/>
          <w:sz w:val="21"/>
        </w:rPr>
        <w:t>Intent: Uncover whether PDLC monitoring is reactive or proactive. Most orgs are reactive — this highlights the need for continuous measurement.</w:t>
      </w:r>
    </w:p>
    <w:p>
      <w:pPr>
        <w:pStyle w:val="ListNumber"/>
        <w:spacing w:after="40"/>
        <w:ind w:left="432"/>
      </w:pPr>
      <w:r>
        <w:rPr>
          <w:rFonts w:ascii="Calibri" w:hAnsi="Calibri"/>
          <w:b w:val="0"/>
          <w:i w:val="0"/>
          <w:sz w:val="21"/>
        </w:rPr>
        <w:t>In the last 12 months, how many transformation or delivery improvement initiatives have been launched? How many are still active, and what measurable improvement have they produced?</w:t>
      </w:r>
    </w:p>
    <w:p>
      <w:pPr>
        <w:pStyle w:val="ListBullet"/>
        <w:spacing w:after="40"/>
        <w:ind w:left="432"/>
      </w:pPr>
      <w:r>
        <w:rPr>
          <w:rFonts w:ascii="Calibri" w:hAnsi="Calibri"/>
          <w:b/>
          <w:i w:val="0"/>
          <w:sz w:val="21"/>
        </w:rPr>
        <w:t xml:space="preserve">Note: </w:t>
      </w:r>
      <w:r>
        <w:rPr>
          <w:rFonts w:ascii="Calibri" w:hAnsi="Calibri"/>
          <w:b w:val="0"/>
          <w:i w:val="0"/>
          <w:sz w:val="21"/>
        </w:rPr>
        <w:t>Intent: Reveal transformation fatigue and the disconnect between effort and outcomes. Often surfaces 'initiative graveyard' problem.</w:t>
      </w:r>
    </w:p>
    <w:p>
      <w:pPr>
        <w:pStyle w:val="ListNumber"/>
        <w:spacing w:after="40"/>
        <w:ind w:left="432"/>
      </w:pPr>
      <w:r>
        <w:rPr>
          <w:rFonts w:ascii="Calibri" w:hAnsi="Calibri"/>
          <w:b w:val="0"/>
          <w:i w:val="0"/>
          <w:sz w:val="21"/>
        </w:rPr>
        <w:t>When your board asks 'are we getting faster?' — what data do you present, and how confident are you that it reflects reality rather than vanity metrics?</w:t>
      </w:r>
    </w:p>
    <w:p>
      <w:pPr>
        <w:pStyle w:val="ListBullet"/>
        <w:spacing w:after="40"/>
        <w:ind w:left="432"/>
      </w:pPr>
      <w:r>
        <w:rPr>
          <w:rFonts w:ascii="Calibri" w:hAnsi="Calibri"/>
          <w:b/>
          <w:i w:val="0"/>
          <w:sz w:val="21"/>
        </w:rPr>
        <w:t xml:space="preserve">Note: </w:t>
      </w:r>
      <w:r>
        <w:rPr>
          <w:rFonts w:ascii="Calibri" w:hAnsi="Calibri"/>
          <w:b w:val="0"/>
          <w:i w:val="0"/>
          <w:sz w:val="21"/>
        </w:rPr>
        <w:t>Intent: Test the quality of existing measurement. Surfaces the gap between reporting and ground truth, and the board-level exposure.</w:t>
      </w:r>
    </w:p>
    <w:p>
      <w:pPr>
        <w:spacing w:before="60" w:after="60"/>
        <w:pBdr>
          <w:bottom w:val="single" w:sz="6" w:space="1" w:color="2563EB"/>
        </w:pBdr>
      </w:pPr>
    </w:p>
    <w:p>
      <w:pPr>
        <w:spacing w:before="240" w:after="80"/>
      </w:pPr>
      <w:r>
        <w:rPr>
          <w:rFonts w:ascii="Calibri" w:hAnsi="Calibri"/>
          <w:b/>
          <w:i w:val="0"/>
          <w:color w:val="2563EB"/>
          <w:sz w:val="26"/>
        </w:rPr>
        <w:t>Theme 2: Quantifying the Bottleneck Cost</w:t>
      </w:r>
    </w:p>
    <w:p>
      <w:pPr>
        <w:spacing w:after="80"/>
      </w:pPr>
      <w:r>
        <w:rPr>
          <w:rFonts w:ascii="Calibri" w:hAnsi="Calibri"/>
          <w:b w:val="0"/>
          <w:i w:val="0"/>
          <w:sz w:val="21"/>
        </w:rPr>
        <w:t>Frame: Every week of lead time waste has a dollar cost. These questions build the business case for Phase 1.</w:t>
      </w:r>
    </w:p>
    <w:p>
      <w:pPr>
        <w:spacing w:after="80"/>
      </w:pPr>
      <w:r>
        <w:rPr>
          <w:rFonts w:ascii="Calibri" w:hAnsi="Calibri"/>
          <w:b w:val="0"/>
          <w:i w:val="0"/>
          <w:sz w:val="21"/>
        </w:rPr>
        <w:t>The goal here is to translate operational pain into financial terms. Executives respond to cost. If you can help them estimate the annual cost of their current PDLC waste in this conversation, they become sponsors of the diagnosis.</w:t>
      </w:r>
    </w:p>
    <w:p>
      <w:pPr>
        <w:pStyle w:val="ListNumber"/>
        <w:spacing w:after="40"/>
        <w:ind w:left="432"/>
      </w:pPr>
      <w:r>
        <w:rPr>
          <w:rFonts w:ascii="Calibri" w:hAnsi="Calibri"/>
          <w:b w:val="0"/>
          <w:i w:val="0"/>
          <w:sz w:val="21"/>
        </w:rPr>
        <w:t>If your average feature takes 30 working days to deliver, and world-class teams in your sector deliver comparable features in 8–10 days — what would an extra 20 days of speed be worth to your business annually?</w:t>
      </w:r>
    </w:p>
    <w:p>
      <w:pPr>
        <w:pStyle w:val="ListBullet"/>
        <w:spacing w:after="40"/>
        <w:ind w:left="432"/>
      </w:pPr>
      <w:r>
        <w:rPr>
          <w:rFonts w:ascii="Calibri" w:hAnsi="Calibri"/>
          <w:b/>
          <w:i w:val="0"/>
          <w:sz w:val="21"/>
        </w:rPr>
        <w:t xml:space="preserve">Note: </w:t>
      </w:r>
      <w:r>
        <w:rPr>
          <w:rFonts w:ascii="Calibri" w:hAnsi="Calibri"/>
          <w:b w:val="0"/>
          <w:i w:val="0"/>
          <w:sz w:val="21"/>
        </w:rPr>
        <w:t>Intent: Anchor the financial case. Help them think in terms of revenue capture, competitive response, and cost avoidance.</w:t>
      </w:r>
    </w:p>
    <w:p>
      <w:pPr>
        <w:pStyle w:val="ListNumber"/>
        <w:spacing w:after="40"/>
        <w:ind w:left="432"/>
      </w:pPr>
      <w:r>
        <w:rPr>
          <w:rFonts w:ascii="Calibri" w:hAnsi="Calibri"/>
          <w:b w:val="0"/>
          <w:i w:val="0"/>
          <w:sz w:val="21"/>
        </w:rPr>
        <w:t>What percentage of your engineering capacity do you believe is absorbed by rework, wait time, and coordination overhead rather than productive delivery?</w:t>
      </w:r>
    </w:p>
    <w:p>
      <w:pPr>
        <w:pStyle w:val="ListBullet"/>
        <w:spacing w:after="40"/>
        <w:ind w:left="432"/>
      </w:pPr>
      <w:r>
        <w:rPr>
          <w:rFonts w:ascii="Calibri" w:hAnsi="Calibri"/>
          <w:b/>
          <w:i w:val="0"/>
          <w:sz w:val="21"/>
        </w:rPr>
        <w:t xml:space="preserve">Note: </w:t>
      </w:r>
      <w:r>
        <w:rPr>
          <w:rFonts w:ascii="Calibri" w:hAnsi="Calibri"/>
          <w:b w:val="0"/>
          <w:i w:val="0"/>
          <w:sz w:val="21"/>
        </w:rPr>
        <w:t>Intent: Surface the productivity waste estimate. Many executives will say 20–40%. Even a conservative estimate translates to millions in misallocated salary.</w:t>
      </w:r>
    </w:p>
    <w:p>
      <w:pPr>
        <w:pStyle w:val="ListNumber"/>
        <w:spacing w:after="40"/>
        <w:ind w:left="432"/>
      </w:pPr>
      <w:r>
        <w:rPr>
          <w:rFonts w:ascii="Calibri" w:hAnsi="Calibri"/>
          <w:b w:val="0"/>
          <w:i w:val="0"/>
          <w:sz w:val="21"/>
        </w:rPr>
        <w:t>Have you ever done a formal value stream mapping exercise? If so, how long did it take, what did it find, and what changed as a result?</w:t>
      </w:r>
    </w:p>
    <w:p>
      <w:pPr>
        <w:pStyle w:val="ListBullet"/>
        <w:spacing w:after="40"/>
        <w:ind w:left="432"/>
      </w:pPr>
      <w:r>
        <w:rPr>
          <w:rFonts w:ascii="Calibri" w:hAnsi="Calibri"/>
          <w:b/>
          <w:i w:val="0"/>
          <w:sz w:val="21"/>
        </w:rPr>
        <w:t xml:space="preserve">Note: </w:t>
      </w:r>
      <w:r>
        <w:rPr>
          <w:rFonts w:ascii="Calibri" w:hAnsi="Calibri"/>
          <w:b w:val="0"/>
          <w:i w:val="0"/>
          <w:sz w:val="21"/>
        </w:rPr>
        <w:t>Intent: Understand prior experience with VSM and whether it produced actionable outcomes. Most will say it took 3–4 months and gathered dust.</w:t>
      </w:r>
    </w:p>
    <w:p>
      <w:pPr>
        <w:pStyle w:val="ListNumber"/>
        <w:spacing w:after="40"/>
        <w:ind w:left="432"/>
      </w:pPr>
      <w:r>
        <w:rPr>
          <w:rFonts w:ascii="Calibri" w:hAnsi="Calibri"/>
          <w:b w:val="0"/>
          <w:i w:val="0"/>
          <w:sz w:val="21"/>
        </w:rPr>
        <w:t>If you could see, in real time, how much of your software delivery is pure engineering value versus wait, queue, and rework — what decisions would you make differently?</w:t>
      </w:r>
    </w:p>
    <w:p>
      <w:pPr>
        <w:pStyle w:val="ListBullet"/>
        <w:spacing w:after="40"/>
        <w:ind w:left="432"/>
      </w:pPr>
      <w:r>
        <w:rPr>
          <w:rFonts w:ascii="Calibri" w:hAnsi="Calibri"/>
          <w:b/>
          <w:i w:val="0"/>
          <w:sz w:val="21"/>
        </w:rPr>
        <w:t xml:space="preserve">Note: </w:t>
      </w:r>
      <w:r>
        <w:rPr>
          <w:rFonts w:ascii="Calibri" w:hAnsi="Calibri"/>
          <w:b w:val="0"/>
          <w:i w:val="0"/>
          <w:sz w:val="21"/>
        </w:rPr>
        <w:t>Intent: Create desire for the diagnostic capability. This question makes the executive imagine having the data, which is a powerful pre-commitment.</w:t>
      </w:r>
    </w:p>
    <w:p>
      <w:pPr>
        <w:pStyle w:val="ListNumber"/>
        <w:spacing w:after="40"/>
        <w:ind w:left="432"/>
      </w:pPr>
      <w:r>
        <w:rPr>
          <w:rFonts w:ascii="Calibri" w:hAnsi="Calibri"/>
          <w:b w:val="0"/>
          <w:i w:val="0"/>
          <w:sz w:val="21"/>
        </w:rPr>
        <w:t>What is the cost to your organisation — in customer impact, competitive position, and direct cost — of a one-month delay in a major feature release?</w:t>
      </w:r>
    </w:p>
    <w:p>
      <w:pPr>
        <w:pStyle w:val="ListBullet"/>
        <w:spacing w:after="40"/>
        <w:ind w:left="432"/>
      </w:pPr>
      <w:r>
        <w:rPr>
          <w:rFonts w:ascii="Calibri" w:hAnsi="Calibri"/>
          <w:b/>
          <w:i w:val="0"/>
          <w:sz w:val="21"/>
        </w:rPr>
        <w:t xml:space="preserve">Note: </w:t>
      </w:r>
      <w:r>
        <w:rPr>
          <w:rFonts w:ascii="Calibri" w:hAnsi="Calibri"/>
          <w:b w:val="0"/>
          <w:i w:val="0"/>
          <w:sz w:val="21"/>
        </w:rPr>
        <w:t>Intent: Quantify the cost of speed deficit in business terms the CFO will understand. This number often shocks executives into urgency.</w:t>
      </w:r>
    </w:p>
    <w:p>
      <w:pPr>
        <w:spacing w:before="60" w:after="60"/>
        <w:pBdr>
          <w:bottom w:val="single" w:sz="6" w:space="1" w:color="2563EB"/>
        </w:pBdr>
      </w:pPr>
    </w:p>
    <w:p>
      <w:pPr>
        <w:spacing w:before="240" w:after="80"/>
      </w:pPr>
      <w:r>
        <w:rPr>
          <w:rFonts w:ascii="Calibri" w:hAnsi="Calibri"/>
          <w:b/>
          <w:i w:val="0"/>
          <w:color w:val="2563EB"/>
          <w:sz w:val="26"/>
        </w:rPr>
        <w:t>Theme 3: Understanding Risk Appetite (Options A / B / C)</w:t>
      </w:r>
    </w:p>
    <w:p>
      <w:pPr>
        <w:spacing w:after="80"/>
      </w:pPr>
      <w:r>
        <w:rPr>
          <w:rFonts w:ascii="Calibri" w:hAnsi="Calibri"/>
          <w:b w:val="0"/>
          <w:i w:val="0"/>
          <w:sz w:val="21"/>
        </w:rPr>
        <w:t>Frame: The right transformation option depends on where the organisation sits on the risk/ambition spectrum.</w:t>
      </w:r>
    </w:p>
    <w:p>
      <w:pPr>
        <w:spacing w:after="80"/>
      </w:pPr>
      <w:r>
        <w:rPr>
          <w:rFonts w:ascii="Calibri" w:hAnsi="Calibri"/>
          <w:b w:val="0"/>
          <w:i w:val="0"/>
          <w:sz w:val="21"/>
        </w:rPr>
        <w:t>These questions guide the executive toward understanding their own appetite for AI-led transformation — without pushing. They surface the cultural, governance, and board context that determines whether Option A, B, or C is right.</w:t>
      </w:r>
    </w:p>
    <w:p>
      <w:pPr>
        <w:pStyle w:val="ListNumber"/>
        <w:spacing w:after="40"/>
        <w:ind w:left="432"/>
      </w:pPr>
      <w:r>
        <w:rPr>
          <w:rFonts w:ascii="Calibri" w:hAnsi="Calibri"/>
          <w:b w:val="0"/>
          <w:i w:val="0"/>
          <w:sz w:val="21"/>
        </w:rPr>
        <w:t>How comfortable is your organisation with AI making recommendations versus AI making decisions? Where do you want human judgment to remain in the loop?</w:t>
      </w:r>
    </w:p>
    <w:p>
      <w:pPr>
        <w:pStyle w:val="ListBullet"/>
        <w:spacing w:after="40"/>
        <w:ind w:left="432"/>
      </w:pPr>
      <w:r>
        <w:rPr>
          <w:rFonts w:ascii="Calibri" w:hAnsi="Calibri"/>
          <w:b/>
          <w:i w:val="0"/>
          <w:sz w:val="21"/>
        </w:rPr>
        <w:t xml:space="preserve">Note: </w:t>
      </w:r>
      <w:r>
        <w:rPr>
          <w:rFonts w:ascii="Calibri" w:hAnsi="Calibri"/>
          <w:b w:val="0"/>
          <w:i w:val="0"/>
          <w:sz w:val="21"/>
        </w:rPr>
        <w:t>Intent: Directly maps to Option A (human in the loop) vs B (human on the loop) vs C (human above the loop). Let them self-select.</w:t>
      </w:r>
    </w:p>
    <w:p>
      <w:pPr>
        <w:pStyle w:val="ListNumber"/>
        <w:spacing w:after="40"/>
        <w:ind w:left="432"/>
      </w:pPr>
      <w:r>
        <w:rPr>
          <w:rFonts w:ascii="Calibri" w:hAnsi="Calibri"/>
          <w:b w:val="0"/>
          <w:i w:val="0"/>
          <w:sz w:val="21"/>
        </w:rPr>
        <w:t>When you think about AI in your engineering process — where has your board expressed the strongest concern? And where have they expressed the most excitement?</w:t>
      </w:r>
    </w:p>
    <w:p>
      <w:pPr>
        <w:pStyle w:val="ListBullet"/>
        <w:spacing w:after="40"/>
        <w:ind w:left="432"/>
      </w:pPr>
      <w:r>
        <w:rPr>
          <w:rFonts w:ascii="Calibri" w:hAnsi="Calibri"/>
          <w:b/>
          <w:i w:val="0"/>
          <w:sz w:val="21"/>
        </w:rPr>
        <w:t xml:space="preserve">Note: </w:t>
      </w:r>
      <w:r>
        <w:rPr>
          <w:rFonts w:ascii="Calibri" w:hAnsi="Calibri"/>
          <w:b w:val="0"/>
          <w:i w:val="0"/>
          <w:sz w:val="21"/>
        </w:rPr>
        <w:t>Intent: Uncover board-level AI posture. Concern signals preference for Option A; excitement opens the door to B or C.</w:t>
      </w:r>
    </w:p>
    <w:p>
      <w:pPr>
        <w:pStyle w:val="ListNumber"/>
        <w:spacing w:after="40"/>
        <w:ind w:left="432"/>
      </w:pPr>
      <w:r>
        <w:rPr>
          <w:rFonts w:ascii="Calibri" w:hAnsi="Calibri"/>
          <w:b w:val="0"/>
          <w:i w:val="0"/>
          <w:sz w:val="21"/>
        </w:rPr>
        <w:t>Has your organisation piloted any AI-assisted development tools — GitHub Copilot, code review automation, test generation? What was the adoption and the outcome?</w:t>
      </w:r>
    </w:p>
    <w:p>
      <w:pPr>
        <w:pStyle w:val="ListBullet"/>
        <w:spacing w:after="40"/>
        <w:ind w:left="432"/>
      </w:pPr>
      <w:r>
        <w:rPr>
          <w:rFonts w:ascii="Calibri" w:hAnsi="Calibri"/>
          <w:b/>
          <w:i w:val="0"/>
          <w:sz w:val="21"/>
        </w:rPr>
        <w:t xml:space="preserve">Note: </w:t>
      </w:r>
      <w:r>
        <w:rPr>
          <w:rFonts w:ascii="Calibri" w:hAnsi="Calibri"/>
          <w:b w:val="0"/>
          <w:i w:val="0"/>
          <w:sz w:val="21"/>
        </w:rPr>
        <w:t>Intent: Assess current AI maturity. Prior positive pilots strongly predict readiness for Option B. Resistance signals Option A is the right start.</w:t>
      </w:r>
    </w:p>
    <w:p>
      <w:pPr>
        <w:pStyle w:val="ListNumber"/>
        <w:spacing w:after="40"/>
        <w:ind w:left="432"/>
      </w:pPr>
      <w:r>
        <w:rPr>
          <w:rFonts w:ascii="Calibri" w:hAnsi="Calibri"/>
          <w:b w:val="0"/>
          <w:i w:val="0"/>
          <w:sz w:val="21"/>
        </w:rPr>
        <w:t>If you could guarantee a 4–6× ROI on a $1.5M transformation investment, what would need to be true for your board to approve it?</w:t>
      </w:r>
    </w:p>
    <w:p>
      <w:pPr>
        <w:pStyle w:val="ListBullet"/>
        <w:spacing w:after="40"/>
        <w:ind w:left="432"/>
      </w:pPr>
      <w:r>
        <w:rPr>
          <w:rFonts w:ascii="Calibri" w:hAnsi="Calibri"/>
          <w:b/>
          <w:i w:val="0"/>
          <w:sz w:val="21"/>
        </w:rPr>
        <w:t xml:space="preserve">Note: </w:t>
      </w:r>
      <w:r>
        <w:rPr>
          <w:rFonts w:ascii="Calibri" w:hAnsi="Calibri"/>
          <w:b w:val="0"/>
          <w:i w:val="0"/>
          <w:sz w:val="21"/>
        </w:rPr>
        <w:t>Intent: Pre-qualify Option B economics and surface board approval requirements. The answer shapes the CFO narrative for Phase 2.</w:t>
      </w:r>
    </w:p>
    <w:p>
      <w:pPr>
        <w:pStyle w:val="ListNumber"/>
        <w:spacing w:after="40"/>
        <w:ind w:left="432"/>
      </w:pPr>
      <w:r>
        <w:rPr>
          <w:rFonts w:ascii="Calibri" w:hAnsi="Calibri"/>
          <w:b w:val="0"/>
          <w:i w:val="0"/>
          <w:sz w:val="21"/>
        </w:rPr>
        <w:t>On a scale of 1–10, how would you rate your organisation's readiness for a fully AI-autonomous software delivery pipeline — where AI agents execute, and humans review only at key gates?</w:t>
      </w:r>
    </w:p>
    <w:p>
      <w:pPr>
        <w:pStyle w:val="ListBullet"/>
        <w:spacing w:after="40"/>
        <w:ind w:left="432"/>
      </w:pPr>
      <w:r>
        <w:rPr>
          <w:rFonts w:ascii="Calibri" w:hAnsi="Calibri"/>
          <w:b/>
          <w:i w:val="0"/>
          <w:sz w:val="21"/>
        </w:rPr>
        <w:t xml:space="preserve">Note: </w:t>
      </w:r>
      <w:r>
        <w:rPr>
          <w:rFonts w:ascii="Calibri" w:hAnsi="Calibri"/>
          <w:b w:val="0"/>
          <w:i w:val="0"/>
          <w:sz w:val="21"/>
        </w:rPr>
        <w:t>Intent: Get a direct readiness self-assessment. Anything below 6 typically lands in Option A/B territory. 8+ opens Option C discussion.</w:t>
      </w:r>
    </w:p>
    <w:p>
      <w:pPr>
        <w:spacing w:before="60" w:after="60"/>
        <w:pBdr>
          <w:bottom w:val="single" w:sz="6" w:space="1" w:color="2563EB"/>
        </w:pBdr>
      </w:pPr>
    </w:p>
    <w:p>
      <w:pPr>
        <w:spacing w:before="240" w:after="80"/>
      </w:pPr>
      <w:r>
        <w:rPr>
          <w:rFonts w:ascii="Calibri" w:hAnsi="Calibri"/>
          <w:b/>
          <w:i w:val="0"/>
          <w:color w:val="2563EB"/>
          <w:sz w:val="26"/>
        </w:rPr>
        <w:t>Theme 4: Transformation Ambition</w:t>
      </w:r>
    </w:p>
    <w:p>
      <w:pPr>
        <w:spacing w:after="80"/>
      </w:pPr>
      <w:r>
        <w:rPr>
          <w:rFonts w:ascii="Calibri" w:hAnsi="Calibri"/>
          <w:b w:val="0"/>
          <w:i w:val="0"/>
          <w:sz w:val="21"/>
        </w:rPr>
        <w:t>Frame: Where does leadership want to be in 3 years? The ambition sets the destination; the options set the route.</w:t>
      </w:r>
    </w:p>
    <w:p>
      <w:pPr>
        <w:pStyle w:val="ListNumber"/>
        <w:spacing w:after="40"/>
        <w:ind w:left="432"/>
      </w:pPr>
      <w:r>
        <w:rPr>
          <w:rFonts w:ascii="Calibri" w:hAnsi="Calibri"/>
          <w:b w:val="0"/>
          <w:i w:val="0"/>
          <w:sz w:val="21"/>
        </w:rPr>
        <w:t>Three years from now, what does 'world-class software delivery' look like for your organisation? How would you describe it to a new board member?</w:t>
      </w:r>
    </w:p>
    <w:p>
      <w:pPr>
        <w:pStyle w:val="ListBullet"/>
        <w:spacing w:after="40"/>
        <w:ind w:left="432"/>
      </w:pPr>
      <w:r>
        <w:rPr>
          <w:rFonts w:ascii="Calibri" w:hAnsi="Calibri"/>
          <w:b/>
          <w:i w:val="0"/>
          <w:sz w:val="21"/>
        </w:rPr>
        <w:t xml:space="preserve">Note: </w:t>
      </w:r>
      <w:r>
        <w:rPr>
          <w:rFonts w:ascii="Calibri" w:hAnsi="Calibri"/>
          <w:b w:val="0"/>
          <w:i w:val="0"/>
          <w:sz w:val="21"/>
        </w:rPr>
        <w:t>Intent: Elicit the future state aspiration. This becomes the transformation north star and anchors the Phase 2 Design conversation.</w:t>
      </w:r>
    </w:p>
    <w:p>
      <w:pPr>
        <w:pStyle w:val="ListNumber"/>
        <w:spacing w:after="40"/>
        <w:ind w:left="432"/>
      </w:pPr>
      <w:r>
        <w:rPr>
          <w:rFonts w:ascii="Calibri" w:hAnsi="Calibri"/>
          <w:b w:val="0"/>
          <w:i w:val="0"/>
          <w:sz w:val="21"/>
        </w:rPr>
        <w:t>What would need to be true for your engineering teams to be shipping meaningful product capability 3× faster than today — and sustaining that pace?</w:t>
      </w:r>
    </w:p>
    <w:p>
      <w:pPr>
        <w:pStyle w:val="ListBullet"/>
        <w:spacing w:after="40"/>
        <w:ind w:left="432"/>
      </w:pPr>
      <w:r>
        <w:rPr>
          <w:rFonts w:ascii="Calibri" w:hAnsi="Calibri"/>
          <w:b/>
          <w:i w:val="0"/>
          <w:sz w:val="21"/>
        </w:rPr>
        <w:t xml:space="preserve">Note: </w:t>
      </w:r>
      <w:r>
        <w:rPr>
          <w:rFonts w:ascii="Calibri" w:hAnsi="Calibri"/>
          <w:b w:val="0"/>
          <w:i w:val="0"/>
          <w:sz w:val="21"/>
        </w:rPr>
        <w:t>Intent: Surface the change requirements — people, process, governance, tooling. These become the transformation design inputs.</w:t>
      </w:r>
    </w:p>
    <w:p>
      <w:pPr>
        <w:pStyle w:val="ListNumber"/>
        <w:spacing w:after="40"/>
        <w:ind w:left="432"/>
      </w:pPr>
      <w:r>
        <w:rPr>
          <w:rFonts w:ascii="Calibri" w:hAnsi="Calibri"/>
          <w:b w:val="0"/>
          <w:i w:val="0"/>
          <w:sz w:val="21"/>
        </w:rPr>
        <w:t>How important is it to your strategy that AI is deeply embedded in your delivery model — not just as a tool, but as a core operational capability?</w:t>
      </w:r>
    </w:p>
    <w:p>
      <w:pPr>
        <w:pStyle w:val="ListBullet"/>
        <w:spacing w:after="40"/>
        <w:ind w:left="432"/>
      </w:pPr>
      <w:r>
        <w:rPr>
          <w:rFonts w:ascii="Calibri" w:hAnsi="Calibri"/>
          <w:b/>
          <w:i w:val="0"/>
          <w:sz w:val="21"/>
        </w:rPr>
        <w:t xml:space="preserve">Note: </w:t>
      </w:r>
      <w:r>
        <w:rPr>
          <w:rFonts w:ascii="Calibri" w:hAnsi="Calibri"/>
          <w:b w:val="0"/>
          <w:i w:val="0"/>
          <w:sz w:val="21"/>
        </w:rPr>
        <w:t>Intent: Distinguish between AI as a utility (Option A mindset) and AI as strategic differentiator (Option B/C mindset).</w:t>
      </w:r>
    </w:p>
    <w:p>
      <w:pPr>
        <w:spacing w:before="60" w:after="60"/>
        <w:pBdr>
          <w:bottom w:val="single" w:sz="6" w:space="1" w:color="2563EB"/>
        </w:pBdr>
      </w:pPr>
    </w:p>
    <w:p>
      <w:pPr>
        <w:spacing w:before="240" w:after="80"/>
      </w:pPr>
      <w:r>
        <w:rPr>
          <w:rFonts w:ascii="Calibri" w:hAnsi="Calibri"/>
          <w:b/>
          <w:i w:val="0"/>
          <w:color w:val="2563EB"/>
          <w:sz w:val="26"/>
        </w:rPr>
        <w:t>Theme 5: Economic Buyer and Board Narrative</w:t>
      </w:r>
    </w:p>
    <w:p>
      <w:pPr>
        <w:spacing w:after="80"/>
      </w:pPr>
      <w:r>
        <w:rPr>
          <w:rFonts w:ascii="Calibri" w:hAnsi="Calibri"/>
          <w:b w:val="0"/>
          <w:i w:val="0"/>
          <w:sz w:val="21"/>
        </w:rPr>
        <w:t>Frame: Every transformation requires a committed sponsor. These questions identify who holds budget and what narrative will move them.</w:t>
      </w:r>
    </w:p>
    <w:p>
      <w:pPr>
        <w:pStyle w:val="ListNumber"/>
        <w:spacing w:after="40"/>
        <w:ind w:left="432"/>
      </w:pPr>
      <w:r>
        <w:rPr>
          <w:rFonts w:ascii="Calibri" w:hAnsi="Calibri"/>
          <w:b w:val="0"/>
          <w:i w:val="0"/>
          <w:sz w:val="21"/>
        </w:rPr>
        <w:t>Who in your organisation would own a PDLC transformation programme — and who holds the budget to fund it?</w:t>
      </w:r>
    </w:p>
    <w:p>
      <w:pPr>
        <w:pStyle w:val="ListBullet"/>
        <w:spacing w:after="40"/>
        <w:ind w:left="432"/>
      </w:pPr>
      <w:r>
        <w:rPr>
          <w:rFonts w:ascii="Calibri" w:hAnsi="Calibri"/>
          <w:b/>
          <w:i w:val="0"/>
          <w:sz w:val="21"/>
        </w:rPr>
        <w:t xml:space="preserve">Note: </w:t>
      </w:r>
      <w:r>
        <w:rPr>
          <w:rFonts w:ascii="Calibri" w:hAnsi="Calibri"/>
          <w:b w:val="0"/>
          <w:i w:val="0"/>
          <w:sz w:val="21"/>
        </w:rPr>
        <w:t>Intent: Map the economic buyer (CTO? CFO? CEO?). The answer determines where to focus Phase 2's business case.</w:t>
      </w:r>
    </w:p>
    <w:p>
      <w:pPr>
        <w:pStyle w:val="ListNumber"/>
        <w:spacing w:after="40"/>
        <w:ind w:left="432"/>
      </w:pPr>
      <w:r>
        <w:rPr>
          <w:rFonts w:ascii="Calibri" w:hAnsi="Calibri"/>
          <w:b w:val="0"/>
          <w:i w:val="0"/>
          <w:sz w:val="21"/>
        </w:rPr>
        <w:t>If a transformation programme produced quantified evidence of a $3M annual benefit in your first year — what format would that need to be in for your CFO to champion it at the next board meeting?</w:t>
      </w:r>
    </w:p>
    <w:p>
      <w:pPr>
        <w:pStyle w:val="ListBullet"/>
        <w:spacing w:after="40"/>
        <w:ind w:left="432"/>
      </w:pPr>
      <w:r>
        <w:rPr>
          <w:rFonts w:ascii="Calibri" w:hAnsi="Calibri"/>
          <w:b/>
          <w:i w:val="0"/>
          <w:sz w:val="21"/>
        </w:rPr>
        <w:t xml:space="preserve">Note: </w:t>
      </w:r>
      <w:r>
        <w:rPr>
          <w:rFonts w:ascii="Calibri" w:hAnsi="Calibri"/>
          <w:b w:val="0"/>
          <w:i w:val="0"/>
          <w:sz w:val="21"/>
        </w:rPr>
        <w:t>Intent: Pre-design the Phase 2 business case output. Makes the executive visualise success — and creates pull toward Phase 1 to generate the evidence.</w:t>
      </w:r>
    </w:p>
    <w:p>
      <w:pPr>
        <w:spacing w:before="60" w:after="60"/>
        <w:pBdr>
          <w:bottom w:val="single" w:sz="6" w:space="1" w:color="2563EB"/>
        </w:pBdr>
      </w:pPr>
    </w:p>
    <w:p>
      <w:pPr>
        <w:spacing w:before="240" w:after="80"/>
      </w:pPr>
      <w:r>
        <w:rPr>
          <w:rFonts w:ascii="Calibri" w:hAnsi="Calibri"/>
          <w:b/>
          <w:i w:val="0"/>
          <w:color w:val="2563EB"/>
          <w:sz w:val="26"/>
        </w:rPr>
        <w:t>Closing Framework: Moving to Phase 1 Diagnose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After working through these questions, you should be able to say: 'Based on what you've told me, the single highest-value action right now is to get precise data on your PDLC. In 8 weeks, for a fixed investment, we will map your current state, quantify your bottleneck cost, and present you with three transformation options — each with a detailed business case. That becomes the decision package for your board. Would it be useful to show you how we do that?'</w:t>
            </w:r>
          </w:p>
        </w:tc>
      </w:tr>
    </w:tbl>
    <w:p/>
    <w:p>
      <w:pPr>
        <w:spacing w:after="80"/>
      </w:pPr>
      <w:r>
        <w:rPr>
          <w:rFonts w:ascii="Calibri" w:hAnsi="Calibri"/>
          <w:b w:val="0"/>
          <w:i w:val="0"/>
          <w:sz w:val="21"/>
        </w:rPr>
        <w:t>The Phase 1 Diagnose engagement is the natural close from this conversation. It is low-risk ($150K fixed), time-bounded (8 weeks), and produces a decision package — not a vague report. The question bank above is designed to create the conditions where that close feels inevitable, not forced.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