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0F2D5E"/>
          </w:tcPr>
          <w:p>
            <w:pPr>
              <w:spacing w:before="320"/>
              <w:jc w:val="center"/>
            </w:pPr>
            <w:r>
              <w:rPr>
                <w:rFonts w:ascii="Calibri" w:hAnsi="Calibri"/>
                <w:b/>
                <w:i w:val="0"/>
                <w:color w:val="FFFFFF"/>
                <w:sz w:val="56"/>
              </w:rPr>
              <w:t>AI-Powered PDLC Transformation</w:t>
            </w:r>
          </w:p>
          <w:p>
            <w:pPr>
              <w:jc w:val="center"/>
            </w:pPr>
            <w:r>
              <w:rPr>
                <w:rFonts w:ascii="Calibri" w:hAnsi="Calibri"/>
                <w:b w:val="0"/>
                <w:i/>
                <w:color w:val="DBEAFE"/>
                <w:sz w:val="28"/>
              </w:rPr>
              <w:t>Diagnose. Design. Deliver. Accelerated by AI.</w:t>
            </w:r>
          </w:p>
          <w:p>
            <w:pPr>
              <w:spacing w:after="280"/>
              <w:jc w:val="center"/>
            </w:pPr>
            <w:r>
              <w:rPr>
                <w:rFonts w:ascii="Calibri" w:hAnsi="Calibri"/>
                <w:b w:val="0"/>
                <w:i/>
                <w:color w:val="93C5FD"/>
                <w:sz w:val="18"/>
              </w:rPr>
              <w:t>GTM Pack — Set 1: CXO GTM Pack  |  Document 03 of 10</w:t>
            </w:r>
          </w:p>
        </w:tc>
      </w:tr>
    </w:tbl>
    <w:p/>
    <w:p>
      <w:pPr>
        <w:spacing w:before="240" w:after="80"/>
      </w:pPr>
      <w:r>
        <w:rPr>
          <w:rFonts w:ascii="Calibri" w:hAnsi="Calibri"/>
          <w:b/>
          <w:i w:val="0"/>
          <w:color w:val="2563EB"/>
          <w:sz w:val="26"/>
        </w:rPr>
        <w:t>THE CHALLENGE</w:t>
      </w:r>
    </w:p>
    <w:p>
      <w:pPr>
        <w:spacing w:after="80"/>
      </w:pPr>
      <w:r>
        <w:rPr>
          <w:rFonts w:ascii="Calibri" w:hAnsi="Calibri"/>
          <w:b w:val="0"/>
          <w:i w:val="0"/>
          <w:sz w:val="21"/>
        </w:rPr>
        <w:t>Most software organisations are flying blind. The average team operates at 17% flow efficiency — meaning 83% of lead time is invisible waste: queues, handoffs, and rework. Boards demand transformation ROI in 12–18 months. AI-native competitors are shipping 3× faster. But without a precise diagnosis of where time is lost, any transformation programme is guesswork.</w:t>
      </w:r>
    </w:p>
    <w:p/>
    <w:p>
      <w:pPr>
        <w:spacing w:before="240" w:after="80"/>
      </w:pPr>
      <w:r>
        <w:rPr>
          <w:rFonts w:ascii="Calibri" w:hAnsi="Calibri"/>
          <w:b/>
          <w:i w:val="0"/>
          <w:color w:val="2563EB"/>
          <w:sz w:val="26"/>
        </w:rPr>
        <w:t>OUR THREE-PHASE OFFERING</w:t>
      </w:r>
    </w:p>
    <w:tbl>
      <w:tblPr>
        <w:tblStyle w:val="TableGrid"/>
        <w:tblW w:type="auto" w:w="0"/>
        <w:tblLook w:firstColumn="1" w:firstRow="1" w:lastColumn="0" w:lastRow="0" w:noHBand="0" w:noVBand="1" w:val="04A0"/>
      </w:tblPr>
      <w:tblGrid>
        <w:gridCol w:w="3120"/>
        <w:gridCol w:w="3120"/>
        <w:gridCol w:w="3120"/>
      </w:tblGrid>
      <w:tr>
        <w:tc>
          <w:tcPr>
            <w:tcW w:type="dxa" w:w="3024"/>
            <w:shd w:val="clear" w:color="auto" w:fill="0F2D5E"/>
          </w:tcPr>
          <w:p>
            <w:pPr>
              <w:jc w:val="center"/>
            </w:pPr>
            <w:r>
              <w:rPr>
                <w:rFonts w:ascii="Calibri" w:hAnsi="Calibri"/>
                <w:b/>
                <w:i w:val="0"/>
                <w:color w:val="FFFFFF"/>
                <w:sz w:val="22"/>
              </w:rPr>
              <w:t>PHASE 1</w:t>
              <w:br/>
              <w:t>DIAGNOSE</w:t>
            </w:r>
          </w:p>
          <w:p>
            <w:pPr>
              <w:jc w:val="center"/>
            </w:pPr>
            <w:r>
              <w:rPr>
                <w:rFonts w:ascii="Calibri" w:hAnsi="Calibri"/>
                <w:b w:val="0"/>
                <w:i/>
                <w:color w:val="DBEAFE"/>
                <w:sz w:val="16"/>
              </w:rPr>
              <w:t>8 Weeks | Fixed Fee</w:t>
            </w:r>
          </w:p>
          <w:p>
            <w:r>
              <w:rPr>
                <w:rFonts w:ascii="Calibri" w:hAnsi="Calibri"/>
                <w:b w:val="0"/>
                <w:i w:val="0"/>
                <w:color w:val="DBEAFE"/>
                <w:sz w:val="18"/>
              </w:rPr>
              <w:t>Organisation Setup &amp; ALM Integration</w:t>
              <w:br/>
              <w:t>DORA Assessment (73-question)</w:t>
              <w:br/>
              <w:t>Current State VSM Map</w:t>
              <w:br/>
              <w:t>Legacy Modernisation Assessment</w:t>
              <w:br/>
              <w:t>Bottleneck Analysis + Operations Intelligence</w:t>
              <w:br/>
              <w:t>Speed / Productivity / Quality quantification</w:t>
              <w:br/>
              <w:t>Three transformation options with business case</w:t>
            </w:r>
          </w:p>
        </w:tc>
        <w:tc>
          <w:tcPr>
            <w:tcW w:type="dxa" w:w="3024"/>
            <w:shd w:val="clear" w:color="auto" w:fill="0F2D5E"/>
          </w:tcPr>
          <w:p>
            <w:pPr>
              <w:jc w:val="center"/>
            </w:pPr>
            <w:r>
              <w:rPr>
                <w:rFonts w:ascii="Calibri" w:hAnsi="Calibri"/>
                <w:b/>
                <w:i w:val="0"/>
                <w:color w:val="FFFFFF"/>
                <w:sz w:val="22"/>
              </w:rPr>
              <w:t>PHASE 2</w:t>
              <w:br/>
              <w:t>DESIGN</w:t>
            </w:r>
          </w:p>
          <w:p>
            <w:pPr>
              <w:jc w:val="center"/>
            </w:pPr>
            <w:r>
              <w:rPr>
                <w:rFonts w:ascii="Calibri" w:hAnsi="Calibri"/>
                <w:b w:val="0"/>
                <w:i/>
                <w:color w:val="DBEAFE"/>
                <w:sz w:val="16"/>
              </w:rPr>
              <w:t>Concurrent with Phase 1 close</w:t>
            </w:r>
          </w:p>
          <w:p>
            <w:r>
              <w:rPr>
                <w:rFonts w:ascii="Calibri" w:hAnsi="Calibri"/>
                <w:b w:val="0"/>
                <w:i w:val="0"/>
                <w:color w:val="DBEAFE"/>
                <w:sz w:val="18"/>
              </w:rPr>
              <w:t>Option A / B / C detailed design</w:t>
              <w:br/>
              <w:t>Governance &amp; Guardrails framework</w:t>
              <w:br/>
              <w:t>AI Assurance protocols</w:t>
              <w:br/>
              <w:t>Transformation Readiness plan</w:t>
              <w:br/>
              <w:t>Responsible AI scorecard</w:t>
              <w:br/>
              <w:t>CFO-ready business case</w:t>
            </w:r>
          </w:p>
        </w:tc>
        <w:tc>
          <w:tcPr>
            <w:tcW w:type="dxa" w:w="3024"/>
            <w:shd w:val="clear" w:color="auto" w:fill="0F2D5E"/>
          </w:tcPr>
          <w:p>
            <w:pPr>
              <w:jc w:val="center"/>
            </w:pPr>
            <w:r>
              <w:rPr>
                <w:rFonts w:ascii="Calibri" w:hAnsi="Calibri"/>
                <w:b/>
                <w:i w:val="0"/>
                <w:color w:val="FFFFFF"/>
                <w:sz w:val="22"/>
              </w:rPr>
              <w:t>PHASE 3</w:t>
              <w:br/>
              <w:t>DELIVER</w:t>
            </w:r>
          </w:p>
          <w:p>
            <w:pPr>
              <w:jc w:val="center"/>
            </w:pPr>
            <w:r>
              <w:rPr>
                <w:rFonts w:ascii="Calibri" w:hAnsi="Calibri"/>
                <w:b w:val="0"/>
                <w:i/>
                <w:color w:val="DBEAFE"/>
                <w:sz w:val="16"/>
              </w:rPr>
              <w:t>Option-specific timeline</w:t>
            </w:r>
          </w:p>
          <w:p>
            <w:r>
              <w:rPr>
                <w:rFonts w:ascii="Calibri" w:hAnsi="Calibri"/>
                <w:b w:val="0"/>
                <w:i w:val="0"/>
                <w:color w:val="DBEAFE"/>
                <w:sz w:val="18"/>
              </w:rPr>
              <w:t>Phased implementation (21-module platform)</w:t>
              <w:br/>
              <w:t>Quick wins in 90 days</w:t>
              <w:br/>
              <w:t>AIOps maturity progression</w:t>
              <w:br/>
              <w:t>Benefits tracking dashboard</w:t>
              <w:br/>
              <w:t>Continuous AI governance &amp; assurance</w:t>
              <w:br/>
              <w:t>Measured ROI at 12 months</w:t>
            </w:r>
          </w:p>
        </w:tc>
      </w:tr>
    </w:tbl>
    <w:p/>
    <w:p>
      <w:pPr>
        <w:spacing w:before="240" w:after="80"/>
      </w:pPr>
      <w:r>
        <w:rPr>
          <w:rFonts w:ascii="Calibri" w:hAnsi="Calibri"/>
          <w:b/>
          <w:i w:val="0"/>
          <w:color w:val="2563EB"/>
          <w:sz w:val="26"/>
        </w:rPr>
        <w:t>THREE TRANSFORMATION PATHWAYS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312"/>
            <w:shd w:val="clear" w:color="auto" w:fill="0F2D5E"/>
          </w:tcPr>
          <w:p>
            <w:r>
              <w:rPr>
                <w:rFonts w:ascii="Calibri" w:hAnsi="Calibri"/>
                <w:b/>
                <w:i w:val="0"/>
                <w:color w:val="FFFFFF"/>
                <w:sz w:val="18"/>
              </w:rPr>
              <w:t>Option</w:t>
            </w:r>
          </w:p>
        </w:tc>
        <w:tc>
          <w:tcPr>
            <w:tcW w:type="dxa" w:w="2016"/>
            <w:shd w:val="clear" w:color="auto" w:fill="0F2D5E"/>
          </w:tcPr>
          <w:p>
            <w:r>
              <w:rPr>
                <w:rFonts w:ascii="Calibri" w:hAnsi="Calibri"/>
                <w:b/>
                <w:i w:val="0"/>
                <w:color w:val="FFFFFF"/>
                <w:sz w:val="18"/>
              </w:rPr>
              <w:t>Model</w:t>
            </w:r>
          </w:p>
        </w:tc>
        <w:tc>
          <w:tcPr>
            <w:tcW w:type="dxa" w:w="1008"/>
            <w:shd w:val="clear" w:color="auto" w:fill="0F2D5E"/>
          </w:tcPr>
          <w:p>
            <w:r>
              <w:rPr>
                <w:rFonts w:ascii="Calibri" w:hAnsi="Calibri"/>
                <w:b/>
                <w:i w:val="0"/>
                <w:color w:val="FFFFFF"/>
                <w:sz w:val="18"/>
              </w:rPr>
              <w:t>Speed</w:t>
            </w:r>
          </w:p>
        </w:tc>
        <w:tc>
          <w:tcPr>
            <w:tcW w:type="dxa" w:w="1296"/>
            <w:shd w:val="clear" w:color="auto" w:fill="0F2D5E"/>
          </w:tcPr>
          <w:p>
            <w:r>
              <w:rPr>
                <w:rFonts w:ascii="Calibri" w:hAnsi="Calibri"/>
                <w:b/>
                <w:i w:val="0"/>
                <w:color w:val="FFFFFF"/>
                <w:sz w:val="18"/>
              </w:rPr>
              <w:t>Productivity</w:t>
            </w:r>
          </w:p>
        </w:tc>
        <w:tc>
          <w:tcPr>
            <w:tcW w:type="dxa" w:w="1008"/>
            <w:shd w:val="clear" w:color="auto" w:fill="0F2D5E"/>
          </w:tcPr>
          <w:p>
            <w:r>
              <w:rPr>
                <w:rFonts w:ascii="Calibri" w:hAnsi="Calibri"/>
                <w:b/>
                <w:i w:val="0"/>
                <w:color w:val="FFFFFF"/>
                <w:sz w:val="18"/>
              </w:rPr>
              <w:t>Quality</w:t>
            </w:r>
          </w:p>
        </w:tc>
        <w:tc>
          <w:tcPr>
            <w:tcW w:type="dxa" w:w="2160"/>
            <w:shd w:val="clear" w:color="auto" w:fill="0F2D5E"/>
          </w:tcPr>
          <w:p>
            <w:r>
              <w:rPr>
                <w:rFonts w:ascii="Calibri" w:hAnsi="Calibri"/>
                <w:b/>
                <w:i w:val="0"/>
                <w:color w:val="FFFFFF"/>
                <w:sz w:val="18"/>
              </w:rPr>
              <w:t>ROI</w:t>
            </w:r>
          </w:p>
        </w:tc>
      </w:tr>
      <w:tr>
        <w:tc>
          <w:tcPr>
            <w:tcW w:type="dxa" w:w="3312"/>
            <w:shd w:val="clear" w:color="auto" w:fill="F3F4F6"/>
          </w:tcPr>
          <w:p>
            <w:r>
              <w:rPr>
                <w:rFonts w:ascii="Calibri" w:hAnsi="Calibri"/>
                <w:b w:val="0"/>
                <w:i w:val="0"/>
                <w:sz w:val="18"/>
              </w:rPr>
              <w:t>A — AI-Augmented PDLC</w:t>
            </w:r>
          </w:p>
        </w:tc>
        <w:tc>
          <w:tcPr>
            <w:tcW w:type="dxa" w:w="2016"/>
            <w:shd w:val="clear" w:color="auto" w:fill="F3F4F6"/>
          </w:tcPr>
          <w:p>
            <w:r>
              <w:rPr>
                <w:rFonts w:ascii="Calibri" w:hAnsi="Calibri"/>
                <w:b w:val="0"/>
                <w:i w:val="0"/>
                <w:sz w:val="18"/>
              </w:rPr>
              <w:t>Human in the loop</w:t>
            </w:r>
          </w:p>
        </w:tc>
        <w:tc>
          <w:tcPr>
            <w:tcW w:type="dxa" w:w="1008"/>
            <w:shd w:val="clear" w:color="auto" w:fill="F3F4F6"/>
          </w:tcPr>
          <w:p>
            <w:r>
              <w:rPr>
                <w:rFonts w:ascii="Calibri" w:hAnsi="Calibri"/>
                <w:b w:val="0"/>
                <w:i w:val="0"/>
                <w:sz w:val="18"/>
              </w:rPr>
              <w:t>+25%</w:t>
            </w:r>
          </w:p>
        </w:tc>
        <w:tc>
          <w:tcPr>
            <w:tcW w:type="dxa" w:w="1296"/>
            <w:shd w:val="clear" w:color="auto" w:fill="F3F4F6"/>
          </w:tcPr>
          <w:p>
            <w:r>
              <w:rPr>
                <w:rFonts w:ascii="Calibri" w:hAnsi="Calibri"/>
                <w:b w:val="0"/>
                <w:i w:val="0"/>
                <w:sz w:val="18"/>
              </w:rPr>
              <w:t>+20%</w:t>
            </w:r>
          </w:p>
        </w:tc>
        <w:tc>
          <w:tcPr>
            <w:tcW w:type="dxa" w:w="1008"/>
            <w:shd w:val="clear" w:color="auto" w:fill="F3F4F6"/>
          </w:tcPr>
          <w:p>
            <w:r>
              <w:rPr>
                <w:rFonts w:ascii="Calibri" w:hAnsi="Calibri"/>
                <w:b w:val="0"/>
                <w:i w:val="0"/>
                <w:sz w:val="18"/>
              </w:rPr>
              <w:t>+15%</w:t>
            </w:r>
          </w:p>
        </w:tc>
        <w:tc>
          <w:tcPr>
            <w:tcW w:type="dxa" w:w="2160"/>
            <w:shd w:val="clear" w:color="auto" w:fill="F3F4F6"/>
          </w:tcPr>
          <w:p>
            <w:r>
              <w:rPr>
                <w:rFonts w:ascii="Calibri" w:hAnsi="Calibri"/>
                <w:b w:val="0"/>
                <w:i w:val="0"/>
                <w:sz w:val="18"/>
              </w:rPr>
              <w:t>2–3×  |  $350–600K</w:t>
            </w:r>
          </w:p>
        </w:tc>
      </w:tr>
      <w:tr>
        <w:tc>
          <w:tcPr>
            <w:tcW w:type="dxa" w:w="3312"/>
            <w:shd w:val="clear" w:color="auto" w:fill="DBEAFE"/>
          </w:tcPr>
          <w:p>
            <w:r>
              <w:rPr>
                <w:rFonts w:ascii="Calibri" w:hAnsi="Calibri"/>
                <w:b/>
                <w:i w:val="0"/>
                <w:sz w:val="18"/>
              </w:rPr>
              <w:t>B — AI Agents + Human Gates ★</w:t>
            </w:r>
          </w:p>
        </w:tc>
        <w:tc>
          <w:tcPr>
            <w:tcW w:type="dxa" w:w="2016"/>
            <w:shd w:val="clear" w:color="auto" w:fill="DBEAFE"/>
          </w:tcPr>
          <w:p>
            <w:r>
              <w:rPr>
                <w:rFonts w:ascii="Calibri" w:hAnsi="Calibri"/>
                <w:b/>
                <w:i w:val="0"/>
                <w:sz w:val="18"/>
              </w:rPr>
              <w:t>Human on the loop</w:t>
            </w:r>
          </w:p>
        </w:tc>
        <w:tc>
          <w:tcPr>
            <w:tcW w:type="dxa" w:w="1008"/>
            <w:shd w:val="clear" w:color="auto" w:fill="DBEAFE"/>
          </w:tcPr>
          <w:p>
            <w:r>
              <w:rPr>
                <w:rFonts w:ascii="Calibri" w:hAnsi="Calibri"/>
                <w:b/>
                <w:i w:val="0"/>
                <w:sz w:val="18"/>
              </w:rPr>
              <w:t>+55%</w:t>
            </w:r>
          </w:p>
        </w:tc>
        <w:tc>
          <w:tcPr>
            <w:tcW w:type="dxa" w:w="1296"/>
            <w:shd w:val="clear" w:color="auto" w:fill="DBEAFE"/>
          </w:tcPr>
          <w:p>
            <w:r>
              <w:rPr>
                <w:rFonts w:ascii="Calibri" w:hAnsi="Calibri"/>
                <w:b/>
                <w:i w:val="0"/>
                <w:sz w:val="18"/>
              </w:rPr>
              <w:t>+50%</w:t>
            </w:r>
          </w:p>
        </w:tc>
        <w:tc>
          <w:tcPr>
            <w:tcW w:type="dxa" w:w="1008"/>
            <w:shd w:val="clear" w:color="auto" w:fill="DBEAFE"/>
          </w:tcPr>
          <w:p>
            <w:r>
              <w:rPr>
                <w:rFonts w:ascii="Calibri" w:hAnsi="Calibri"/>
                <w:b/>
                <w:i w:val="0"/>
                <w:sz w:val="18"/>
              </w:rPr>
              <w:t>+35%</w:t>
            </w:r>
          </w:p>
        </w:tc>
        <w:tc>
          <w:tcPr>
            <w:tcW w:type="dxa" w:w="2160"/>
            <w:shd w:val="clear" w:color="auto" w:fill="DBEAFE"/>
          </w:tcPr>
          <w:p>
            <w:r>
              <w:rPr>
                <w:rFonts w:ascii="Calibri" w:hAnsi="Calibri"/>
                <w:b/>
                <w:i w:val="0"/>
                <w:sz w:val="18"/>
              </w:rPr>
              <w:t>4–6×  |  $1.2–2M</w:t>
            </w:r>
          </w:p>
        </w:tc>
      </w:tr>
      <w:tr>
        <w:tc>
          <w:tcPr>
            <w:tcW w:type="dxa" w:w="3312"/>
            <w:shd w:val="clear" w:color="auto" w:fill="F3F4F6"/>
          </w:tcPr>
          <w:p>
            <w:r>
              <w:rPr>
                <w:rFonts w:ascii="Calibri" w:hAnsi="Calibri"/>
                <w:b w:val="0"/>
                <w:i w:val="0"/>
                <w:sz w:val="18"/>
              </w:rPr>
              <w:t>C — Fully Agentic PDLC</w:t>
            </w:r>
          </w:p>
        </w:tc>
        <w:tc>
          <w:tcPr>
            <w:tcW w:type="dxa" w:w="2016"/>
            <w:shd w:val="clear" w:color="auto" w:fill="F3F4F6"/>
          </w:tcPr>
          <w:p>
            <w:r>
              <w:rPr>
                <w:rFonts w:ascii="Calibri" w:hAnsi="Calibri"/>
                <w:b w:val="0"/>
                <w:i w:val="0"/>
                <w:sz w:val="18"/>
              </w:rPr>
              <w:t>Human above the loop</w:t>
            </w:r>
          </w:p>
        </w:tc>
        <w:tc>
          <w:tcPr>
            <w:tcW w:type="dxa" w:w="1008"/>
            <w:shd w:val="clear" w:color="auto" w:fill="F3F4F6"/>
          </w:tcPr>
          <w:p>
            <w:r>
              <w:rPr>
                <w:rFonts w:ascii="Calibri" w:hAnsi="Calibri"/>
                <w:b w:val="0"/>
                <w:i w:val="0"/>
                <w:sz w:val="18"/>
              </w:rPr>
              <w:t>+75%</w:t>
            </w:r>
          </w:p>
        </w:tc>
        <w:tc>
          <w:tcPr>
            <w:tcW w:type="dxa" w:w="1296"/>
            <w:shd w:val="clear" w:color="auto" w:fill="F3F4F6"/>
          </w:tcPr>
          <w:p>
            <w:r>
              <w:rPr>
                <w:rFonts w:ascii="Calibri" w:hAnsi="Calibri"/>
                <w:b w:val="0"/>
                <w:i w:val="0"/>
                <w:sz w:val="18"/>
              </w:rPr>
              <w:t>+75%</w:t>
            </w:r>
          </w:p>
        </w:tc>
        <w:tc>
          <w:tcPr>
            <w:tcW w:type="dxa" w:w="1008"/>
            <w:shd w:val="clear" w:color="auto" w:fill="F3F4F6"/>
          </w:tcPr>
          <w:p>
            <w:r>
              <w:rPr>
                <w:rFonts w:ascii="Calibri" w:hAnsi="Calibri"/>
                <w:b w:val="0"/>
                <w:i w:val="0"/>
                <w:sz w:val="18"/>
              </w:rPr>
              <w:t>+60%</w:t>
            </w:r>
          </w:p>
        </w:tc>
        <w:tc>
          <w:tcPr>
            <w:tcW w:type="dxa" w:w="2160"/>
            <w:shd w:val="clear" w:color="auto" w:fill="F3F4F6"/>
          </w:tcPr>
          <w:p>
            <w:r>
              <w:rPr>
                <w:rFonts w:ascii="Calibri" w:hAnsi="Calibri"/>
                <w:b w:val="0"/>
                <w:i w:val="0"/>
                <w:sz w:val="18"/>
              </w:rPr>
              <w:t>8–12×  |  $3–5M</w:t>
            </w:r>
          </w:p>
        </w:tc>
      </w:tr>
    </w:tbl>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 Option B is our recommended pathway for most enterprise organisations. It delivers 4–6× ROI with proven governance, and is the path US Bank took — achieving 42→8 days lead time in 18 months.</w:t>
            </w:r>
          </w:p>
        </w:tc>
      </w:tr>
    </w:tbl>
    <w:p/>
    <w:p>
      <w:pPr>
        <w:spacing w:before="240" w:after="80"/>
      </w:pPr>
      <w:r>
        <w:rPr>
          <w:rFonts w:ascii="Calibri" w:hAnsi="Calibri"/>
          <w:b/>
          <w:i w:val="0"/>
          <w:color w:val="2563EB"/>
          <w:sz w:val="26"/>
        </w:rPr>
        <w:t>HOW WE ACCELERATE IT — The Platform Advantage</w:t>
      </w:r>
    </w:p>
    <w:p>
      <w:pPr>
        <w:spacing w:after="80"/>
      </w:pPr>
      <w:r>
        <w:rPr>
          <w:rFonts w:ascii="Calibri" w:hAnsi="Calibri"/>
          <w:b w:val="0"/>
          <w:i w:val="0"/>
          <w:sz w:val="21"/>
        </w:rPr>
        <w:t>The AI-Powered PDLC Transformation offering is delivered with the support of our proprietary STUMP (Strategic Transformation Unified Mapping Platform) — an AI-native accelerator that compresses what traditionally takes 3 months into 2 weeks. STUMP provides 21 integrated modules across 7 capability groups: Setup &amp; Data (Organisation Setup, ALM Connect, DORA Assessment, DevOps Maturity, Legacy Modernisation, VSM Editor), Current State Analysis (Current State VSM, Bottleneck Analysis, Improvements, Operations Intelligence), Future State Design (Future State VSM, Business Case, Transformation Readiness), AI Insights (Accuracy &amp; RAG, Recommendations, AI Agents, Playbook), and Governance &amp; Assurance (Governance &amp; Guardrails, AI Assurance).</w:t>
      </w:r>
    </w:p>
    <w:p>
      <w:pPr>
        <w:pStyle w:val="ListBullet"/>
        <w:spacing w:after="40"/>
        <w:ind w:left="432"/>
      </w:pPr>
      <w:r>
        <w:rPr>
          <w:rFonts w:ascii="Calibri" w:hAnsi="Calibri"/>
          <w:b/>
          <w:i w:val="0"/>
          <w:sz w:val="21"/>
        </w:rPr>
        <w:t xml:space="preserve">5× faster diagnosis: </w:t>
      </w:r>
      <w:r>
        <w:rPr>
          <w:rFonts w:ascii="Calibri" w:hAnsi="Calibri"/>
          <w:b w:val="0"/>
          <w:i w:val="0"/>
          <w:sz w:val="21"/>
        </w:rPr>
        <w:t>Current State VSM generated automatically from ALM data (Jira, Azure DevOps, Rally)</w:t>
      </w:r>
    </w:p>
    <w:p>
      <w:pPr>
        <w:pStyle w:val="ListBullet"/>
        <w:spacing w:after="40"/>
        <w:ind w:left="432"/>
      </w:pPr>
      <w:r>
        <w:rPr>
          <w:rFonts w:ascii="Calibri" w:hAnsi="Calibri"/>
          <w:b/>
          <w:i w:val="0"/>
          <w:sz w:val="21"/>
        </w:rPr>
        <w:t xml:space="preserve">AI-accurate insight: </w:t>
      </w:r>
      <w:r>
        <w:rPr>
          <w:rFonts w:ascii="Calibri" w:hAnsi="Calibri"/>
          <w:b w:val="0"/>
          <w:i w:val="0"/>
          <w:sz w:val="21"/>
        </w:rPr>
        <w:t>AI-driven bottleneck identification benchmarked against 500+ financial services teams</w:t>
      </w:r>
    </w:p>
    <w:p>
      <w:pPr>
        <w:pStyle w:val="ListBullet"/>
        <w:spacing w:after="40"/>
        <w:ind w:left="432"/>
      </w:pPr>
      <w:r>
        <w:rPr>
          <w:rFonts w:ascii="Calibri" w:hAnsi="Calibri"/>
          <w:b/>
          <w:i w:val="0"/>
          <w:sz w:val="21"/>
        </w:rPr>
        <w:t xml:space="preserve">CFO-ready output: </w:t>
      </w:r>
      <w:r>
        <w:rPr>
          <w:rFonts w:ascii="Calibri" w:hAnsi="Calibri"/>
          <w:b w:val="0"/>
          <w:i w:val="0"/>
          <w:sz w:val="21"/>
        </w:rPr>
        <w:t>Business case with ROI, NPV, and payback generated in hours, not weeks</w:t>
      </w:r>
    </w:p>
    <w:p>
      <w:pPr>
        <w:pStyle w:val="ListBullet"/>
        <w:spacing w:after="40"/>
        <w:ind w:left="432"/>
      </w:pPr>
      <w:r>
        <w:rPr>
          <w:rFonts w:ascii="Calibri" w:hAnsi="Calibri"/>
          <w:b/>
          <w:i w:val="0"/>
          <w:sz w:val="21"/>
        </w:rPr>
        <w:t xml:space="preserve">Optimal economics: </w:t>
      </w:r>
      <w:r>
        <w:rPr>
          <w:rFonts w:ascii="Calibri" w:hAnsi="Calibri"/>
          <w:b w:val="0"/>
          <w:i w:val="0"/>
          <w:sz w:val="21"/>
        </w:rPr>
        <w:t>Platform delivers the evidence; our consultants deliver the strategy and change</w:t>
      </w:r>
    </w:p>
    <w:p>
      <w:pPr>
        <w:spacing w:after="80"/>
      </w:pPr>
      <w:r>
        <w:rPr>
          <w:rFonts w:ascii="Calibri" w:hAnsi="Calibri"/>
          <w:b w:val="0"/>
          <w:i w:val="0"/>
          <w:sz w:val="21"/>
        </w:rPr>
        <w:t>The platform is not the product. It is what makes our consulting offering faster, more accurate, and more cost-effective than any alternative.</w:t>
      </w:r>
    </w:p>
    <w:p>
      <w:pPr>
        <w:spacing w:before="240" w:after="80"/>
      </w:pPr>
      <w:r>
        <w:rPr>
          <w:rFonts w:ascii="Calibri" w:hAnsi="Calibri"/>
          <w:b/>
          <w:i w:val="0"/>
          <w:color w:val="2563EB"/>
          <w:sz w:val="26"/>
        </w:rPr>
        <w:t>PROOF POINT — US Bank / Team Phoenix</w:t>
      </w:r>
    </w:p>
    <w:tbl>
      <w:tblPr>
        <w:tblStyle w:val="TableGrid"/>
        <w:tblW w:type="auto" w:w="0"/>
        <w:tblLook w:firstColumn="1" w:firstRow="1" w:lastColumn="0" w:lastRow="0" w:noHBand="0" w:noVBand="1" w:val="04A0"/>
      </w:tblPr>
      <w:tblGrid>
        <w:gridCol w:w="9360"/>
      </w:tblGrid>
      <w:tr>
        <w:tc>
          <w:tcPr>
            <w:tcW w:type="dxa" w:w="9360"/>
            <w:shd w:val="clear" w:color="auto" w:fill="F0FDF4"/>
          </w:tcPr>
          <w:p>
            <w:r>
              <w:rPr>
                <w:rFonts w:ascii="Calibri" w:hAnsi="Calibri"/>
                <w:b w:val="0"/>
                <w:i/>
                <w:color w:val="0F2D5E"/>
                <w:sz w:val="21"/>
              </w:rPr>
              <w:t>42 → 8 days lead time  |  17.8% → 61% Flow Efficiency  |  $3M investment  |  $8.4M/yr benefit  |  4.2× ROI  |  14-month payback  |  $31.2M 5-year NPV</w:t>
              <w:br/>
              <w:br/>
              <w:t>'The diagnosis made the business case. The platform made the diagnosis possible in 2 weeks, not 3 months.' — CTO, US Bank Digital</w:t>
            </w:r>
          </w:p>
        </w:tc>
      </w:tr>
    </w:tbl>
    <w:p/>
    <w:p>
      <w:pPr>
        <w:spacing w:before="60" w:after="60"/>
        <w:pBdr>
          <w:bottom w:val="single" w:sz="6" w:space="1" w:color="2563EB"/>
        </w:pBdr>
      </w:pPr>
    </w:p>
    <w:p>
      <w:pPr>
        <w:jc w:val="center"/>
      </w:pPr>
      <w:r>
        <w:rPr>
          <w:rFonts w:ascii="Calibri" w:hAnsi="Calibri"/>
          <w:b w:val="0"/>
          <w:i w:val="0"/>
          <w:color w:val="4B5563"/>
          <w:sz w:val="16"/>
        </w:rPr>
        <w:t>AI-Powered PDLC Transformation  |  Confidential  |  contact@stump-platform.ai  |  www.stump-platform.ai</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