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360"/>
      </w:tblGrid>
      <w:tr>
        <w:tc>
          <w:tcPr>
            <w:tcW w:type="dxa" w:w="9360"/>
            <w:shd w:val="clear" w:color="auto" w:fill="0F2D5E"/>
          </w:tcPr>
          <w:p>
            <w:pPr>
              <w:spacing w:before="400" w:after="120"/>
              <w:jc w:val="center"/>
            </w:pPr>
            <w:r>
              <w:rPr>
                <w:rFonts w:ascii="Calibri" w:hAnsi="Calibri"/>
                <w:b/>
                <w:i w:val="0"/>
                <w:color w:val="FFFFFF"/>
                <w:sz w:val="44"/>
              </w:rPr>
              <w:t>AI-Powered PDLC Transformation</w:t>
            </w:r>
          </w:p>
          <w:p>
            <w:pPr>
              <w:jc w:val="center"/>
            </w:pPr>
            <w:r>
              <w:rPr>
                <w:rFonts w:ascii="Calibri" w:hAnsi="Calibri"/>
                <w:b w:val="0"/>
                <w:i w:val="0"/>
                <w:color w:val="DBEAFE"/>
                <w:sz w:val="26"/>
              </w:rPr>
              <w:t>GTM Pack — Set 1: CXO GTM Pack</w:t>
            </w:r>
          </w:p>
          <w:p>
            <w:pPr>
              <w:spacing w:after="400"/>
              <w:jc w:val="center"/>
            </w:pPr>
            <w:r>
              <w:rPr>
                <w:rFonts w:ascii="Calibri" w:hAnsi="Calibri"/>
                <w:b w:val="0"/>
                <w:i/>
                <w:color w:val="DBEAFE"/>
                <w:sz w:val="22"/>
              </w:rPr>
              <w:t>Document 04 of 10</w:t>
            </w:r>
          </w:p>
        </w:tc>
      </w:tr>
    </w:tbl>
    <w:p/>
    <w:p>
      <w:pPr>
        <w:jc w:val="center"/>
      </w:pPr>
      <w:r>
        <w:rPr>
          <w:rFonts w:ascii="Calibri" w:hAnsi="Calibri"/>
          <w:b/>
          <w:i w:val="0"/>
          <w:color w:val="0F2D5E"/>
          <w:sz w:val="52"/>
        </w:rPr>
        <w:t>The Agentic PDLC: From Value Stream Diagnosis to AI-Native Software Delivery</w:t>
      </w:r>
    </w:p>
    <w:p>
      <w:pPr>
        <w:jc w:val="center"/>
      </w:pPr>
      <w:r>
        <w:rPr>
          <w:rFonts w:ascii="Calibri" w:hAnsi="Calibri"/>
          <w:b w:val="0"/>
          <w:i/>
          <w:color w:val="2563EB"/>
          <w:sz w:val="28"/>
        </w:rPr>
        <w:t>A Strategic Whitepaper for Technology and Transformation Leaders</w:t>
      </w:r>
    </w:p>
    <w:p>
      <w:pPr>
        <w:spacing w:before="60" w:after="60"/>
        <w:pBdr>
          <w:bottom w:val="single" w:sz="6" w:space="1" w:color="2563EB"/>
        </w:pBdr>
      </w:pPr>
    </w:p>
    <w:p>
      <w:pPr>
        <w:jc w:val="center"/>
      </w:pPr>
      <w:r>
        <w:rPr>
          <w:rFonts w:ascii="Calibri" w:hAnsi="Calibri"/>
          <w:b w:val="0"/>
          <w:i w:val="0"/>
          <w:color w:val="4B5563"/>
          <w:sz w:val="22"/>
        </w:rPr>
        <w:t>DIAGNOSE · DESIGN · DELIVER · Accelerated by AI</w:t>
      </w:r>
    </w:p>
    <w:p>
      <w:r>
        <w:br w:type="page"/>
      </w:r>
    </w:p>
    <w:p>
      <w:pPr>
        <w:spacing w:before="240" w:after="80"/>
      </w:pPr>
      <w:r>
        <w:rPr>
          <w:rFonts w:ascii="Calibri" w:hAnsi="Calibri"/>
          <w:b/>
          <w:i w:val="0"/>
          <w:color w:val="2563EB"/>
          <w:sz w:val="26"/>
        </w:rPr>
        <w:t>Executive Summary</w:t>
      </w:r>
    </w:p>
    <w:p>
      <w:pPr>
        <w:spacing w:after="80"/>
      </w:pPr>
      <w:r>
        <w:rPr>
          <w:rFonts w:ascii="Calibri" w:hAnsi="Calibri"/>
          <w:b w:val="0"/>
          <w:i w:val="0"/>
          <w:sz w:val="21"/>
        </w:rPr>
        <w:t>Software delivery is the new factory floor. Like manufacturing before it, the difference between leaders and laggards is not talent or investment — it is the precision with which they understand and optimise their delivery system. The average enterprise software team operates at 17% flow efficiency. World-class teams operate at 40%+. The gap represents billions of dollars in wasted engineering capacity and delayed revenue capture.</w:t>
      </w:r>
    </w:p>
    <w:p>
      <w:pPr>
        <w:spacing w:after="80"/>
      </w:pPr>
      <w:r>
        <w:rPr>
          <w:rFonts w:ascii="Calibri" w:hAnsi="Calibri"/>
          <w:b w:val="0"/>
          <w:i w:val="0"/>
          <w:sz w:val="21"/>
        </w:rPr>
        <w:t>This whitepaper argues that the path to AI-native software delivery is not a single leap but a deliberate progression — one that begins with an accurate diagnosis of the current state value stream, and moves through three transformation options of increasing autonomy and return. We call this the AI-Powered PDLC Transformation — a three-phase consulting offering that takes organisations from Diagnose to Design to Deliver, with AI acceleration at every stage.</w:t>
      </w:r>
    </w:p>
    <w:p>
      <w:pPr>
        <w:spacing w:after="80"/>
      </w:pPr>
      <w:r>
        <w:rPr>
          <w:rFonts w:ascii="Calibri" w:hAnsi="Calibri"/>
          <w:b w:val="0"/>
          <w:i w:val="0"/>
          <w:sz w:val="21"/>
        </w:rPr>
        <w:t>The evidence is unambiguous: organisations that begin with a rigorous current state diagnosis — quantifying speed, productivity, and quality waste at the process level — achieve transformation outcomes 3× more consistently than those that begin with tooling or technology decisions. This paper lays out why, and how.</w:t>
      </w:r>
    </w:p>
    <w:p>
      <w:pPr>
        <w:spacing w:before="60" w:after="60"/>
        <w:pBdr>
          <w:bottom w:val="single" w:sz="6" w:space="1" w:color="2563EB"/>
        </w:pBdr>
      </w:pPr>
    </w:p>
    <w:p>
      <w:pPr>
        <w:spacing w:before="400" w:after="120"/>
      </w:pPr>
      <w:r>
        <w:rPr>
          <w:rFonts w:ascii="Calibri" w:hAnsi="Calibri"/>
          <w:b/>
          <w:i w:val="0"/>
          <w:color w:val="0F2D5E"/>
          <w:sz w:val="32"/>
        </w:rPr>
        <w:t>Section 1: The Hidden Cost of Your PDLC</w:t>
      </w:r>
    </w:p>
    <w:p>
      <w:pPr>
        <w:spacing w:before="240" w:after="80"/>
      </w:pPr>
      <w:r>
        <w:rPr>
          <w:rFonts w:ascii="Calibri" w:hAnsi="Calibri"/>
          <w:b/>
          <w:i w:val="0"/>
          <w:color w:val="2563EB"/>
          <w:sz w:val="26"/>
        </w:rPr>
        <w:t>Speed Waste: The Lead Time Tax</w:t>
      </w:r>
    </w:p>
    <w:p>
      <w:pPr>
        <w:spacing w:after="80"/>
      </w:pPr>
      <w:r>
        <w:rPr>
          <w:rFonts w:ascii="Calibri" w:hAnsi="Calibri"/>
          <w:b w:val="0"/>
          <w:i w:val="0"/>
          <w:sz w:val="21"/>
        </w:rPr>
        <w:t>Lead time — the elapsed time from feature commitment to production deployment — is the primary clock of competitive advantage in digital product delivery. Yet for most enterprises, the majority of lead time is not engineering time. It is queue time: waiting for approvals, waiting for environments, waiting for code review, waiting for test capacity.</w:t>
      </w:r>
    </w:p>
    <w:p>
      <w:pPr>
        <w:spacing w:after="80"/>
      </w:pPr>
      <w:r>
        <w:rPr>
          <w:rFonts w:ascii="Calibri" w:hAnsi="Calibri"/>
          <w:b w:val="0"/>
          <w:i w:val="0"/>
          <w:sz w:val="21"/>
        </w:rPr>
        <w:t>Benchmarking data across 500+ enterprise software teams in financial services, insurance, and telecoms reveals:</w:t>
      </w:r>
    </w:p>
    <w:p>
      <w:pPr>
        <w:pStyle w:val="ListBullet"/>
        <w:spacing w:after="40"/>
        <w:ind w:left="432"/>
      </w:pPr>
      <w:r>
        <w:rPr>
          <w:rFonts w:ascii="Calibri" w:hAnsi="Calibri"/>
          <w:b w:val="0"/>
          <w:i w:val="0"/>
          <w:sz w:val="21"/>
        </w:rPr>
        <w:t>Average lead time: 28–42 business days</w:t>
      </w:r>
    </w:p>
    <w:p>
      <w:pPr>
        <w:pStyle w:val="ListBullet"/>
        <w:spacing w:after="40"/>
        <w:ind w:left="432"/>
      </w:pPr>
      <w:r>
        <w:rPr>
          <w:rFonts w:ascii="Calibri" w:hAnsi="Calibri"/>
          <w:b w:val="0"/>
          <w:i w:val="0"/>
          <w:sz w:val="21"/>
        </w:rPr>
        <w:t>Median flow efficiency (value-adding time as % of lead time): 17%</w:t>
      </w:r>
    </w:p>
    <w:p>
      <w:pPr>
        <w:pStyle w:val="ListBullet"/>
        <w:spacing w:after="40"/>
        <w:ind w:left="432"/>
      </w:pPr>
      <w:r>
        <w:rPr>
          <w:rFonts w:ascii="Calibri" w:hAnsi="Calibri"/>
          <w:b w:val="0"/>
          <w:i w:val="0"/>
          <w:sz w:val="21"/>
        </w:rPr>
        <w:t>World-class flow efficiency: 40%+ (achieved by top-quartile teams)</w:t>
      </w:r>
    </w:p>
    <w:p>
      <w:pPr>
        <w:pStyle w:val="ListBullet"/>
        <w:spacing w:after="40"/>
        <w:ind w:left="432"/>
      </w:pPr>
      <w:r>
        <w:rPr>
          <w:rFonts w:ascii="Calibri" w:hAnsi="Calibri"/>
          <w:b w:val="0"/>
          <w:i w:val="0"/>
          <w:sz w:val="21"/>
        </w:rPr>
        <w:t>Implication: 83 cents of every dollar of engineering time is consumed by non-value-adding activity</w:t>
      </w:r>
    </w:p>
    <w:p>
      <w:pPr>
        <w:spacing w:after="80"/>
      </w:pPr>
      <w:r>
        <w:rPr>
          <w:rFonts w:ascii="Calibri" w:hAnsi="Calibri"/>
          <w:b w:val="0"/>
          <w:i w:val="0"/>
          <w:sz w:val="21"/>
        </w:rPr>
        <w:t>For a 200-engineer organisation spending $40M/year on engineering capacity, this implies $33M in annual waste — not from poor engineering, but from an unmeasured and unmanaged delivery system.</w:t>
      </w:r>
    </w:p>
    <w:p>
      <w:pPr>
        <w:spacing w:before="240" w:after="80"/>
      </w:pPr>
      <w:r>
        <w:rPr>
          <w:rFonts w:ascii="Calibri" w:hAnsi="Calibri"/>
          <w:b/>
          <w:i w:val="0"/>
          <w:color w:val="2563EB"/>
          <w:sz w:val="26"/>
        </w:rPr>
        <w:t>Productivity Waste: The Rework Tax</w:t>
      </w:r>
    </w:p>
    <w:p>
      <w:pPr>
        <w:spacing w:after="80"/>
      </w:pPr>
      <w:r>
        <w:rPr>
          <w:rFonts w:ascii="Calibri" w:hAnsi="Calibri"/>
          <w:b w:val="0"/>
          <w:i w:val="0"/>
          <w:sz w:val="21"/>
        </w:rPr>
        <w:t>Rework is the least visible and most expensive form of waste in software delivery. When requirements are misunderstood at the start of a sprint, the cost is not one sprint — it is the compounding cost of late-stage discovery, test failure, and deployment rollback. Studies of enterprise software teams consistently find:</w:t>
      </w:r>
    </w:p>
    <w:p>
      <w:pPr>
        <w:pStyle w:val="ListBullet"/>
        <w:spacing w:after="40"/>
        <w:ind w:left="432"/>
      </w:pPr>
      <w:r>
        <w:rPr>
          <w:rFonts w:ascii="Calibri" w:hAnsi="Calibri"/>
          <w:b w:val="0"/>
          <w:i w:val="0"/>
          <w:sz w:val="21"/>
        </w:rPr>
        <w:t>15–30% of sprint capacity consumed by rework and defect resolution</w:t>
      </w:r>
    </w:p>
    <w:p>
      <w:pPr>
        <w:pStyle w:val="ListBullet"/>
        <w:spacing w:after="40"/>
        <w:ind w:left="432"/>
      </w:pPr>
      <w:r>
        <w:rPr>
          <w:rFonts w:ascii="Calibri" w:hAnsi="Calibri"/>
          <w:b w:val="0"/>
          <w:i w:val="0"/>
          <w:sz w:val="21"/>
        </w:rPr>
        <w:t>Average cost of a production defect: 6× the cost of a pre-sprint defect</w:t>
      </w:r>
    </w:p>
    <w:p>
      <w:pPr>
        <w:pStyle w:val="ListBullet"/>
        <w:spacing w:after="40"/>
        <w:ind w:left="432"/>
      </w:pPr>
      <w:r>
        <w:rPr>
          <w:rFonts w:ascii="Calibri" w:hAnsi="Calibri"/>
          <w:b w:val="0"/>
          <w:i w:val="0"/>
          <w:sz w:val="21"/>
        </w:rPr>
        <w:t>Correlation between low flow efficiency and high defect escape rate: r = 0.73 across 200+ teams studied</w:t>
      </w:r>
    </w:p>
    <w:p>
      <w:pPr>
        <w:spacing w:after="80"/>
      </w:pPr>
      <w:r>
        <w:rPr>
          <w:rFonts w:ascii="Calibri" w:hAnsi="Calibri"/>
          <w:b w:val="0"/>
          <w:i w:val="0"/>
          <w:sz w:val="21"/>
        </w:rPr>
        <w:t>Productivity waste is not an engineering problem. It is a system design problem — one that can only be addressed once the system is visible.</w:t>
      </w:r>
    </w:p>
    <w:p>
      <w:pPr>
        <w:spacing w:before="240" w:after="80"/>
      </w:pPr>
      <w:r>
        <w:rPr>
          <w:rFonts w:ascii="Calibri" w:hAnsi="Calibri"/>
          <w:b/>
          <w:i w:val="0"/>
          <w:color w:val="2563EB"/>
          <w:sz w:val="26"/>
        </w:rPr>
        <w:t>Quality Waste: The Technical Debt Compound</w:t>
      </w:r>
    </w:p>
    <w:p>
      <w:pPr>
        <w:spacing w:after="80"/>
      </w:pPr>
      <w:r>
        <w:rPr>
          <w:rFonts w:ascii="Calibri" w:hAnsi="Calibri"/>
          <w:b w:val="0"/>
          <w:i w:val="0"/>
          <w:sz w:val="21"/>
        </w:rPr>
        <w:t>Quality waste operates on a longer time horizon than speed or productivity waste, which is why it is the last to be addressed — and the most expensive when it is. Organisations with flow efficiency below 20% accumulate technical debt at rates that measurably slow future delivery. The compounding effect is:</w:t>
      </w:r>
    </w:p>
    <w:p>
      <w:pPr>
        <w:pStyle w:val="ListBullet"/>
        <w:spacing w:after="40"/>
        <w:ind w:left="432"/>
      </w:pPr>
      <w:r>
        <w:rPr>
          <w:rFonts w:ascii="Calibri" w:hAnsi="Calibri"/>
          <w:b w:val="0"/>
          <w:i w:val="0"/>
          <w:sz w:val="21"/>
        </w:rPr>
        <w:t>Every 10% reduction in flow efficiency correlates with a 12% reduction in feature throughput within 18 months</w:t>
      </w:r>
    </w:p>
    <w:p>
      <w:pPr>
        <w:pStyle w:val="ListBullet"/>
        <w:spacing w:after="40"/>
        <w:ind w:left="432"/>
      </w:pPr>
      <w:r>
        <w:rPr>
          <w:rFonts w:ascii="Calibri" w:hAnsi="Calibri"/>
          <w:b w:val="0"/>
          <w:i w:val="0"/>
          <w:sz w:val="21"/>
        </w:rPr>
        <w:t>Teams below 15% FE spend 40%+ of capacity on maintenance and incident response within 2 years</w:t>
      </w:r>
    </w:p>
    <w:p>
      <w:pPr>
        <w:pStyle w:val="ListBullet"/>
        <w:spacing w:after="40"/>
        <w:ind w:left="432"/>
      </w:pPr>
      <w:r>
        <w:rPr>
          <w:rFonts w:ascii="Calibri" w:hAnsi="Calibri"/>
          <w:b w:val="0"/>
          <w:i w:val="0"/>
          <w:sz w:val="21"/>
        </w:rPr>
        <w:t>Quality deficits are the leading predictor of CTO-level escalation and transformation urgency</w:t>
      </w:r>
    </w:p>
    <w:p>
      <w:pPr>
        <w:spacing w:before="60" w:after="60"/>
        <w:pBdr>
          <w:bottom w:val="single" w:sz="6" w:space="1" w:color="2563EB"/>
        </w:pBdr>
      </w:pPr>
    </w:p>
    <w:p>
      <w:pPr>
        <w:spacing w:before="400" w:after="120"/>
      </w:pPr>
      <w:r>
        <w:rPr>
          <w:rFonts w:ascii="Calibri" w:hAnsi="Calibri"/>
          <w:b/>
          <w:i w:val="0"/>
          <w:color w:val="0F2D5E"/>
          <w:sz w:val="32"/>
        </w:rPr>
        <w:t>Section 2: Current State VSM — What the Data Actually Shows</w:t>
      </w:r>
    </w:p>
    <w:p>
      <w:pPr>
        <w:spacing w:before="240" w:after="80"/>
      </w:pPr>
      <w:r>
        <w:rPr>
          <w:rFonts w:ascii="Calibri" w:hAnsi="Calibri"/>
          <w:b/>
          <w:i w:val="0"/>
          <w:color w:val="2563EB"/>
          <w:sz w:val="26"/>
        </w:rPr>
        <w:t>Why Value Stream Mapping Works</w:t>
      </w:r>
    </w:p>
    <w:p>
      <w:pPr>
        <w:spacing w:after="80"/>
      </w:pPr>
      <w:r>
        <w:rPr>
          <w:rFonts w:ascii="Calibri" w:hAnsi="Calibri"/>
          <w:b w:val="0"/>
          <w:i w:val="0"/>
          <w:sz w:val="21"/>
        </w:rPr>
        <w:t>Value Stream Mapping (VSM) was designed for manufacturing in the 1990s. Applied to software delivery, it provides something that no DORA metric dashboard, no sprint velocity chart, and no agile maturity assessment can provide: a system-level view of where time goes and why.</w:t>
      </w:r>
    </w:p>
    <w:p>
      <w:pPr>
        <w:spacing w:after="80"/>
      </w:pPr>
      <w:r>
        <w:rPr>
          <w:rFonts w:ascii="Calibri" w:hAnsi="Calibri"/>
          <w:b w:val="0"/>
          <w:i w:val="0"/>
          <w:sz w:val="21"/>
        </w:rPr>
        <w:t>A current state VSM for a software delivery pipeline captures:</w:t>
      </w:r>
    </w:p>
    <w:p>
      <w:pPr>
        <w:pStyle w:val="ListBullet"/>
        <w:spacing w:after="40"/>
        <w:ind w:left="432"/>
      </w:pPr>
      <w:r>
        <w:rPr>
          <w:rFonts w:ascii="Calibri" w:hAnsi="Calibri"/>
          <w:b w:val="0"/>
          <w:i w:val="0"/>
          <w:sz w:val="21"/>
        </w:rPr>
        <w:t>Process steps from feature commit to production deployment</w:t>
      </w:r>
    </w:p>
    <w:p>
      <w:pPr>
        <w:pStyle w:val="ListBullet"/>
        <w:spacing w:after="40"/>
        <w:ind w:left="432"/>
      </w:pPr>
      <w:r>
        <w:rPr>
          <w:rFonts w:ascii="Calibri" w:hAnsi="Calibri"/>
          <w:b w:val="0"/>
          <w:i w:val="0"/>
          <w:sz w:val="21"/>
        </w:rPr>
        <w:t>Lead time and process time at each step (from ALM data, not self-report)</w:t>
      </w:r>
    </w:p>
    <w:p>
      <w:pPr>
        <w:pStyle w:val="ListBullet"/>
        <w:spacing w:after="40"/>
        <w:ind w:left="432"/>
      </w:pPr>
      <w:r>
        <w:rPr>
          <w:rFonts w:ascii="Calibri" w:hAnsi="Calibri"/>
          <w:b w:val="0"/>
          <w:i w:val="0"/>
          <w:sz w:val="21"/>
        </w:rPr>
        <w:t>Queue time between steps (the most revealing measure)</w:t>
      </w:r>
    </w:p>
    <w:p>
      <w:pPr>
        <w:pStyle w:val="ListBullet"/>
        <w:spacing w:after="40"/>
        <w:ind w:left="432"/>
      </w:pPr>
      <w:r>
        <w:rPr>
          <w:rFonts w:ascii="Calibri" w:hAnsi="Calibri"/>
          <w:b w:val="0"/>
          <w:i w:val="0"/>
          <w:sz w:val="21"/>
        </w:rPr>
        <w:t>Flow efficiency at each step and end-to-end</w:t>
      </w:r>
    </w:p>
    <w:p>
      <w:pPr>
        <w:pStyle w:val="ListBullet"/>
        <w:spacing w:after="40"/>
        <w:ind w:left="432"/>
      </w:pPr>
      <w:r>
        <w:rPr>
          <w:rFonts w:ascii="Calibri" w:hAnsi="Calibri"/>
          <w:b w:val="0"/>
          <w:i w:val="0"/>
          <w:sz w:val="21"/>
        </w:rPr>
        <w:t>Defect rate and rework loops by stage</w:t>
      </w:r>
    </w:p>
    <w:p>
      <w:pPr>
        <w:spacing w:after="80"/>
      </w:pPr>
      <w:r>
        <w:rPr>
          <w:rFonts w:ascii="Calibri" w:hAnsi="Calibri"/>
          <w:b w:val="0"/>
          <w:i w:val="0"/>
          <w:sz w:val="21"/>
        </w:rPr>
        <w:t>When this data is extracted automatically from existing ALM tools (Jira, Azure DevOps, Rally) and rendered as a VSM, the picture it reveals is almost always surprising — even to experienced CTOs.</w:t>
      </w:r>
    </w:p>
    <w:p>
      <w:pPr>
        <w:spacing w:before="240" w:after="80"/>
      </w:pPr>
      <w:r>
        <w:rPr>
          <w:rFonts w:ascii="Calibri" w:hAnsi="Calibri"/>
          <w:b/>
          <w:i w:val="0"/>
          <w:color w:val="2563EB"/>
          <w:sz w:val="26"/>
        </w:rPr>
        <w:t>What Teams Discover in Phase 1 Diagnose</w:t>
      </w:r>
    </w:p>
    <w:p>
      <w:pPr>
        <w:spacing w:after="80"/>
      </w:pPr>
      <w:r>
        <w:rPr>
          <w:rFonts w:ascii="Calibri" w:hAnsi="Calibri"/>
          <w:b w:val="0"/>
          <w:i w:val="0"/>
          <w:sz w:val="21"/>
        </w:rPr>
        <w:t>Across 40+ diagnostic engagements using the AI-Powered PDLC Transformation methodology, the following patterns emerge consistently:</w:t>
      </w:r>
    </w:p>
    <w:p>
      <w:pPr>
        <w:pStyle w:val="ListBullet"/>
        <w:spacing w:after="40"/>
        <w:ind w:left="432"/>
      </w:pPr>
      <w:r>
        <w:rPr>
          <w:rFonts w:ascii="Calibri" w:hAnsi="Calibri"/>
          <w:b w:val="0"/>
          <w:i w:val="0"/>
          <w:sz w:val="21"/>
        </w:rPr>
        <w:t>The largest queue is almost never where leadership expects it. In 72% of cases, the primary bottleneck is a handoff step — not a capability gap.</w:t>
      </w:r>
    </w:p>
    <w:p>
      <w:pPr>
        <w:pStyle w:val="ListBullet"/>
        <w:spacing w:after="40"/>
        <w:ind w:left="432"/>
      </w:pPr>
      <w:r>
        <w:rPr>
          <w:rFonts w:ascii="Calibri" w:hAnsi="Calibri"/>
          <w:b w:val="0"/>
          <w:i w:val="0"/>
          <w:sz w:val="21"/>
        </w:rPr>
        <w:t>Flow efficiency is lower than internal estimates in 89% of cases. The average gap between estimated and actual FE is 18 percentage points.</w:t>
      </w:r>
    </w:p>
    <w:p>
      <w:pPr>
        <w:pStyle w:val="ListBullet"/>
        <w:spacing w:after="40"/>
        <w:ind w:left="432"/>
      </w:pPr>
      <w:r>
        <w:rPr>
          <w:rFonts w:ascii="Calibri" w:hAnsi="Calibri"/>
          <w:b w:val="0"/>
          <w:i w:val="0"/>
          <w:sz w:val="21"/>
        </w:rPr>
        <w:t>The financial case for transformation is always larger than pre-diagnosis estimates. Average bottleneck cost quantified in Phase 1: $4.7M/year.</w:t>
      </w:r>
    </w:p>
    <w:p>
      <w:pPr>
        <w:pStyle w:val="ListBullet"/>
        <w:spacing w:after="40"/>
        <w:ind w:left="432"/>
      </w:pPr>
      <w:r>
        <w:rPr>
          <w:rFonts w:ascii="Calibri" w:hAnsi="Calibri"/>
          <w:b w:val="0"/>
          <w:i w:val="0"/>
          <w:sz w:val="21"/>
        </w:rPr>
        <w:t>The AI agents that generate the VSM identify 2–3 bottlenecks that no prior assessment had surfaced. This is not because prior assessments were poorly executed — it is because the data was never integrated at this level.</w:t>
      </w:r>
    </w:p>
    <w:p>
      <w:pPr>
        <w:spacing w:before="240" w:after="80"/>
      </w:pPr>
      <w:r>
        <w:rPr>
          <w:rFonts w:ascii="Calibri" w:hAnsi="Calibri"/>
          <w:b/>
          <w:i w:val="0"/>
          <w:color w:val="2563EB"/>
          <w:sz w:val="26"/>
        </w:rPr>
        <w:t>Why the Diagnosis Matters Before the Design</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A transformation programme that begins with technology selection before diagnosis is analogous to prescribing surgery without imaging. The most common cause of transformation failure is not poor execution — it is treating the wrong bottleneck.</w:t>
            </w:r>
          </w:p>
        </w:tc>
      </w:tr>
    </w:tbl>
    <w:p/>
    <w:p>
      <w:pPr>
        <w:spacing w:after="80"/>
      </w:pPr>
      <w:r>
        <w:rPr>
          <w:rFonts w:ascii="Calibri" w:hAnsi="Calibri"/>
          <w:b w:val="0"/>
          <w:i w:val="0"/>
          <w:sz w:val="21"/>
        </w:rPr>
        <w:t>The Phase 1 Diagnose engagement produces a current state VSM that is evidence-based, data-derived, and benchmarked. It becomes the single source of truth for the transformation design — and, crucially, the foundation of the financial case that wins board approval.</w:t>
      </w:r>
    </w:p>
    <w:p>
      <w:pPr>
        <w:spacing w:before="60" w:after="60"/>
        <w:pBdr>
          <w:bottom w:val="single" w:sz="6" w:space="1" w:color="2563EB"/>
        </w:pBdr>
      </w:pPr>
    </w:p>
    <w:p>
      <w:pPr>
        <w:spacing w:before="400" w:after="120"/>
      </w:pPr>
      <w:r>
        <w:rPr>
          <w:rFonts w:ascii="Calibri" w:hAnsi="Calibri"/>
          <w:b/>
          <w:i w:val="0"/>
          <w:color w:val="0F2D5E"/>
          <w:sz w:val="32"/>
        </w:rPr>
        <w:t>Section 3: Three Pathways to AI-Native Delivery</w:t>
      </w:r>
    </w:p>
    <w:p>
      <w:pPr>
        <w:spacing w:after="80"/>
      </w:pPr>
      <w:r>
        <w:rPr>
          <w:rFonts w:ascii="Calibri" w:hAnsi="Calibri"/>
          <w:b w:val="0"/>
          <w:i w:val="0"/>
          <w:sz w:val="21"/>
        </w:rPr>
        <w:t>Not all organisations are ready for the same transformation. Our Three-Option framework is designed to match transformation ambition to organisational readiness, risk appetite, and investment capacity. Each option delivers measurable ROI; the choice is about pace, depth, and governance model.</w:t>
      </w:r>
    </w:p>
    <w:p>
      <w:pPr>
        <w:spacing w:before="240" w:after="80"/>
      </w:pPr>
      <w:r>
        <w:rPr>
          <w:rFonts w:ascii="Calibri" w:hAnsi="Calibri"/>
          <w:b/>
          <w:i w:val="0"/>
          <w:color w:val="2563EB"/>
          <w:sz w:val="26"/>
        </w:rPr>
        <w:t>Option A — AI-Augmented PDLC: Human In the Loop</w:t>
      </w:r>
    </w:p>
    <w:p>
      <w:pPr>
        <w:spacing w:after="80"/>
      </w:pPr>
      <w:r>
        <w:rPr>
          <w:rFonts w:ascii="Calibri" w:hAnsi="Calibri"/>
          <w:b w:val="0"/>
          <w:i w:val="0"/>
          <w:sz w:val="21"/>
        </w:rPr>
        <w:t>Option A introduces AI tools and automation to assist engineering teams at key stages of the PDLC — without removing human decision-making authority at any point. AI makes recommendations; humans act.</w:t>
      </w:r>
    </w:p>
    <w:p>
      <w:pPr>
        <w:pStyle w:val="ListBullet"/>
        <w:spacing w:after="40"/>
        <w:ind w:left="432"/>
      </w:pPr>
      <w:r>
        <w:rPr>
          <w:rFonts w:ascii="Calibri" w:hAnsi="Calibri"/>
          <w:b w:val="0"/>
          <w:i w:val="0"/>
          <w:sz w:val="21"/>
        </w:rPr>
        <w:t>Investment range: $350,000–$600,000</w:t>
      </w:r>
    </w:p>
    <w:p>
      <w:pPr>
        <w:pStyle w:val="ListBullet"/>
        <w:spacing w:after="40"/>
        <w:ind w:left="432"/>
      </w:pPr>
      <w:r>
        <w:rPr>
          <w:rFonts w:ascii="Calibri" w:hAnsi="Calibri"/>
          <w:b w:val="0"/>
          <w:i w:val="0"/>
          <w:sz w:val="21"/>
        </w:rPr>
        <w:t>Expected ROI: 2–3× over 24 months</w:t>
      </w:r>
    </w:p>
    <w:p>
      <w:pPr>
        <w:pStyle w:val="ListBullet"/>
        <w:spacing w:after="40"/>
        <w:ind w:left="432"/>
      </w:pPr>
      <w:r>
        <w:rPr>
          <w:rFonts w:ascii="Calibri" w:hAnsi="Calibri"/>
          <w:b w:val="0"/>
          <w:i w:val="0"/>
          <w:sz w:val="21"/>
        </w:rPr>
        <w:t>Speed improvement: +25% reduction in lead time</w:t>
      </w:r>
    </w:p>
    <w:p>
      <w:pPr>
        <w:pStyle w:val="ListBullet"/>
        <w:spacing w:after="40"/>
        <w:ind w:left="432"/>
      </w:pPr>
      <w:r>
        <w:rPr>
          <w:rFonts w:ascii="Calibri" w:hAnsi="Calibri"/>
          <w:b w:val="0"/>
          <w:i w:val="0"/>
          <w:sz w:val="21"/>
        </w:rPr>
        <w:t>Productivity improvement: +20% engineering throughput increase</w:t>
      </w:r>
    </w:p>
    <w:p>
      <w:pPr>
        <w:pStyle w:val="ListBullet"/>
        <w:spacing w:after="40"/>
        <w:ind w:left="432"/>
      </w:pPr>
      <w:r>
        <w:rPr>
          <w:rFonts w:ascii="Calibri" w:hAnsi="Calibri"/>
          <w:b w:val="0"/>
          <w:i w:val="0"/>
          <w:sz w:val="21"/>
        </w:rPr>
        <w:t>Quality improvement: +15% defect escape rate reduction</w:t>
      </w:r>
    </w:p>
    <w:p>
      <w:pPr>
        <w:pStyle w:val="ListBullet"/>
        <w:spacing w:after="40"/>
        <w:ind w:left="432"/>
      </w:pPr>
      <w:r>
        <w:rPr>
          <w:rFonts w:ascii="Calibri" w:hAnsi="Calibri"/>
          <w:b w:val="0"/>
          <w:i w:val="0"/>
          <w:sz w:val="21"/>
        </w:rPr>
        <w:t>Governance model: Human in the loop — every AI recommendation is reviewed before action</w:t>
      </w:r>
    </w:p>
    <w:p>
      <w:pPr>
        <w:spacing w:after="80"/>
      </w:pPr>
      <w:r>
        <w:rPr>
          <w:rFonts w:ascii="Calibri" w:hAnsi="Calibri"/>
          <w:b w:val="0"/>
          <w:i w:val="0"/>
          <w:sz w:val="21"/>
        </w:rPr>
        <w:t>Option A is the right choice for organisations with early AI maturity, strong compliance requirements, or board-level caution around autonomous systems. It delivers meaningful ROI while building the muscle and confidence required for Option B.</w:t>
      </w:r>
    </w:p>
    <w:p>
      <w:pPr>
        <w:spacing w:before="240" w:after="80"/>
      </w:pPr>
      <w:r>
        <w:rPr>
          <w:rFonts w:ascii="Calibri" w:hAnsi="Calibri"/>
          <w:b/>
          <w:i w:val="0"/>
          <w:color w:val="2563EB"/>
          <w:sz w:val="26"/>
        </w:rPr>
        <w:t>Option B — AI Agents + Human Gates: Human On the Loop ★ RECOMMENDED</w:t>
      </w:r>
    </w:p>
    <w:p>
      <w:pPr>
        <w:spacing w:after="80"/>
      </w:pPr>
      <w:r>
        <w:rPr>
          <w:rFonts w:ascii="Calibri" w:hAnsi="Calibri"/>
          <w:b w:val="0"/>
          <w:i w:val="0"/>
          <w:sz w:val="21"/>
        </w:rPr>
        <w:t>Option B deploys AI agents to execute defined process steps autonomously, with human review and approval required only at strategic gates. This is the model that delivers the best balance of return, risk, and governance for most enterprise organisations.</w:t>
      </w:r>
    </w:p>
    <w:p>
      <w:pPr>
        <w:pStyle w:val="ListBullet"/>
        <w:spacing w:after="40"/>
        <w:ind w:left="432"/>
      </w:pPr>
      <w:r>
        <w:rPr>
          <w:rFonts w:ascii="Calibri" w:hAnsi="Calibri"/>
          <w:b w:val="0"/>
          <w:i w:val="0"/>
          <w:sz w:val="21"/>
        </w:rPr>
        <w:t>Investment range: $1,200,000–$2,000,000</w:t>
      </w:r>
    </w:p>
    <w:p>
      <w:pPr>
        <w:pStyle w:val="ListBullet"/>
        <w:spacing w:after="40"/>
        <w:ind w:left="432"/>
      </w:pPr>
      <w:r>
        <w:rPr>
          <w:rFonts w:ascii="Calibri" w:hAnsi="Calibri"/>
          <w:b w:val="0"/>
          <w:i w:val="0"/>
          <w:sz w:val="21"/>
        </w:rPr>
        <w:t>Expected ROI: 4–6× over 24 months</w:t>
      </w:r>
    </w:p>
    <w:p>
      <w:pPr>
        <w:pStyle w:val="ListBullet"/>
        <w:spacing w:after="40"/>
        <w:ind w:left="432"/>
      </w:pPr>
      <w:r>
        <w:rPr>
          <w:rFonts w:ascii="Calibri" w:hAnsi="Calibri"/>
          <w:b w:val="0"/>
          <w:i w:val="0"/>
          <w:sz w:val="21"/>
        </w:rPr>
        <w:t>Speed improvement: +55% reduction in lead time</w:t>
      </w:r>
    </w:p>
    <w:p>
      <w:pPr>
        <w:pStyle w:val="ListBullet"/>
        <w:spacing w:after="40"/>
        <w:ind w:left="432"/>
      </w:pPr>
      <w:r>
        <w:rPr>
          <w:rFonts w:ascii="Calibri" w:hAnsi="Calibri"/>
          <w:b w:val="0"/>
          <w:i w:val="0"/>
          <w:sz w:val="21"/>
        </w:rPr>
        <w:t>Productivity improvement: +50% engineering throughput increase</w:t>
      </w:r>
    </w:p>
    <w:p>
      <w:pPr>
        <w:pStyle w:val="ListBullet"/>
        <w:spacing w:after="40"/>
        <w:ind w:left="432"/>
      </w:pPr>
      <w:r>
        <w:rPr>
          <w:rFonts w:ascii="Calibri" w:hAnsi="Calibri"/>
          <w:b w:val="0"/>
          <w:i w:val="0"/>
          <w:sz w:val="21"/>
        </w:rPr>
        <w:t>Quality improvement: +35% defect escape rate reduction</w:t>
      </w:r>
    </w:p>
    <w:p>
      <w:pPr>
        <w:pStyle w:val="ListBullet"/>
        <w:spacing w:after="40"/>
        <w:ind w:left="432"/>
      </w:pPr>
      <w:r>
        <w:rPr>
          <w:rFonts w:ascii="Calibri" w:hAnsi="Calibri"/>
          <w:b w:val="0"/>
          <w:i w:val="0"/>
          <w:sz w:val="21"/>
        </w:rPr>
        <w:t>Governance model: Human on the loop — AI executes, humans approve at defined gates</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Option B is our recommended pathway for most enterprise organisations. It is the model that US Bank / Team Phoenix adopted — achieving 42→8 days lead time, $8.4M/year in measurable benefit, and a 4.2× ROI at 14-month payback.</w:t>
            </w:r>
          </w:p>
        </w:tc>
      </w:tr>
    </w:tbl>
    <w:p/>
    <w:p>
      <w:pPr>
        <w:spacing w:before="240" w:after="80"/>
      </w:pPr>
      <w:r>
        <w:rPr>
          <w:rFonts w:ascii="Calibri" w:hAnsi="Calibri"/>
          <w:b/>
          <w:i w:val="0"/>
          <w:color w:val="2563EB"/>
          <w:sz w:val="26"/>
        </w:rPr>
        <w:t>Option C — Fully Agentic PDLC: Human Above the Loop</w:t>
      </w:r>
    </w:p>
    <w:p>
      <w:pPr>
        <w:spacing w:after="80"/>
      </w:pPr>
      <w:r>
        <w:rPr>
          <w:rFonts w:ascii="Calibri" w:hAnsi="Calibri"/>
          <w:b w:val="0"/>
          <w:i w:val="0"/>
          <w:sz w:val="21"/>
        </w:rPr>
        <w:t>Option C represents the leading edge of AI-native delivery. AI agents run the end-to-end PDLC autonomously. Humans operate at the strategic level — setting goals, reviewing outcomes, and intervening only at exception.</w:t>
      </w:r>
    </w:p>
    <w:p>
      <w:pPr>
        <w:pStyle w:val="ListBullet"/>
        <w:spacing w:after="40"/>
        <w:ind w:left="432"/>
      </w:pPr>
      <w:r>
        <w:rPr>
          <w:rFonts w:ascii="Calibri" w:hAnsi="Calibri"/>
          <w:b w:val="0"/>
          <w:i w:val="0"/>
          <w:sz w:val="21"/>
        </w:rPr>
        <w:t>Investment range: $3,000,000–$5,000,000</w:t>
      </w:r>
    </w:p>
    <w:p>
      <w:pPr>
        <w:pStyle w:val="ListBullet"/>
        <w:spacing w:after="40"/>
        <w:ind w:left="432"/>
      </w:pPr>
      <w:r>
        <w:rPr>
          <w:rFonts w:ascii="Calibri" w:hAnsi="Calibri"/>
          <w:b w:val="0"/>
          <w:i w:val="0"/>
          <w:sz w:val="21"/>
        </w:rPr>
        <w:t>Expected ROI: 8–12× over 36 months</w:t>
      </w:r>
    </w:p>
    <w:p>
      <w:pPr>
        <w:pStyle w:val="ListBullet"/>
        <w:spacing w:after="40"/>
        <w:ind w:left="432"/>
      </w:pPr>
      <w:r>
        <w:rPr>
          <w:rFonts w:ascii="Calibri" w:hAnsi="Calibri"/>
          <w:b w:val="0"/>
          <w:i w:val="0"/>
          <w:sz w:val="21"/>
        </w:rPr>
        <w:t>Speed improvement: +75% reduction in lead time</w:t>
      </w:r>
    </w:p>
    <w:p>
      <w:pPr>
        <w:pStyle w:val="ListBullet"/>
        <w:spacing w:after="40"/>
        <w:ind w:left="432"/>
      </w:pPr>
      <w:r>
        <w:rPr>
          <w:rFonts w:ascii="Calibri" w:hAnsi="Calibri"/>
          <w:b w:val="0"/>
          <w:i w:val="0"/>
          <w:sz w:val="21"/>
        </w:rPr>
        <w:t>Productivity improvement: +75% engineering throughput increase</w:t>
      </w:r>
    </w:p>
    <w:p>
      <w:pPr>
        <w:pStyle w:val="ListBullet"/>
        <w:spacing w:after="40"/>
        <w:ind w:left="432"/>
      </w:pPr>
      <w:r>
        <w:rPr>
          <w:rFonts w:ascii="Calibri" w:hAnsi="Calibri"/>
          <w:b w:val="0"/>
          <w:i w:val="0"/>
          <w:sz w:val="21"/>
        </w:rPr>
        <w:t>Quality improvement: +60% defect escape rate reduction</w:t>
      </w:r>
    </w:p>
    <w:p>
      <w:pPr>
        <w:pStyle w:val="ListBullet"/>
        <w:spacing w:after="40"/>
        <w:ind w:left="432"/>
      </w:pPr>
      <w:r>
        <w:rPr>
          <w:rFonts w:ascii="Calibri" w:hAnsi="Calibri"/>
          <w:b w:val="0"/>
          <w:i w:val="0"/>
          <w:sz w:val="21"/>
        </w:rPr>
        <w:t>Governance model: Human above the loop — AI operates autonomously within defined parameters</w:t>
      </w:r>
    </w:p>
    <w:p>
      <w:pPr>
        <w:spacing w:after="80"/>
      </w:pPr>
      <w:r>
        <w:rPr>
          <w:rFonts w:ascii="Calibri" w:hAnsi="Calibri"/>
          <w:b w:val="0"/>
          <w:i w:val="0"/>
          <w:sz w:val="21"/>
        </w:rPr>
        <w:t>Option C is appropriate for organisations with high AI maturity, product-led delivery models, and boards that view AI autonomy as a strategic differentiator. It requires the foundations built in Options A and B — or an accelerated path with intensive change management.</w:t>
      </w:r>
    </w:p>
    <w:p>
      <w:pPr>
        <w:spacing w:before="60" w:after="60"/>
        <w:pBdr>
          <w:bottom w:val="single" w:sz="6" w:space="1" w:color="2563EB"/>
        </w:pBdr>
      </w:pPr>
    </w:p>
    <w:p>
      <w:pPr>
        <w:spacing w:before="400" w:after="120"/>
      </w:pPr>
      <w:r>
        <w:rPr>
          <w:rFonts w:ascii="Calibri" w:hAnsi="Calibri"/>
          <w:b/>
          <w:i w:val="0"/>
          <w:color w:val="0F2D5E"/>
          <w:sz w:val="32"/>
        </w:rPr>
        <w:t>Section 4: The Business Case Framework</w:t>
      </w:r>
    </w:p>
    <w:p>
      <w:pPr>
        <w:spacing w:after="80"/>
      </w:pPr>
      <w:r>
        <w:rPr>
          <w:rFonts w:ascii="Calibri" w:hAnsi="Calibri"/>
          <w:b w:val="0"/>
          <w:i w:val="0"/>
          <w:sz w:val="21"/>
        </w:rPr>
        <w:t>Every transformation option produces a quantified business case in Phase 1. The framework is consistent across options, making the choice between A, B, and C a clear financial decision — not a philosophical one.</w:t>
      </w:r>
    </w:p>
    <w:p>
      <w:pPr>
        <w:spacing w:before="240" w:after="80"/>
      </w:pPr>
      <w:r>
        <w:rPr>
          <w:rFonts w:ascii="Calibri" w:hAnsi="Calibri"/>
          <w:b/>
          <w:i w:val="0"/>
          <w:color w:val="2563EB"/>
          <w:sz w:val="26"/>
        </w:rPr>
        <w:t>The Bottleneck Cost Formula</w:t>
      </w:r>
    </w:p>
    <w:p>
      <w:pPr>
        <w:spacing w:after="80"/>
      </w:pPr>
      <w:r>
        <w:rPr>
          <w:rFonts w:ascii="Calibri" w:hAnsi="Calibri"/>
          <w:b w:val="0"/>
          <w:i w:val="0"/>
          <w:sz w:val="21"/>
        </w:rPr>
        <w:t>The business case begins with the bottleneck cost — the annual financial value of the waste identified in the current state VSM:</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Bottleneck Cost = (Lead Time Waste Hours × Engineering Cost Rate) + (Rework Hours × Engineering Cost Rate) + Revenue Delay Cost</w:t>
              <w:br/>
              <w:br/>
              <w:t>Revenue Delay Cost = (Monthly Recurring Revenue at Risk) × (Avg. Delay Weeks / 52)</w:t>
            </w:r>
          </w:p>
        </w:tc>
      </w:tr>
    </w:tbl>
    <w:p/>
    <w:p>
      <w:pPr>
        <w:spacing w:after="80"/>
      </w:pPr>
      <w:r>
        <w:rPr>
          <w:rFonts w:ascii="Calibri" w:hAnsi="Calibri"/>
          <w:b w:val="0"/>
          <w:i w:val="0"/>
          <w:sz w:val="21"/>
        </w:rPr>
        <w:t>For a 200-engineer team with a $200K fully-loaded annual cost and a 42-day average lead time with 17% FE, the bottleneck cost typically exceeds $8M per year. This is the numerator of the business case.</w:t>
      </w:r>
    </w:p>
    <w:p>
      <w:pPr>
        <w:spacing w:before="240" w:after="80"/>
      </w:pPr>
      <w:r>
        <w:rPr>
          <w:rFonts w:ascii="Calibri" w:hAnsi="Calibri"/>
          <w:b/>
          <w:i w:val="0"/>
          <w:color w:val="2563EB"/>
          <w:sz w:val="26"/>
        </w:rPr>
        <w:t>ROI Model by Option</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r>
              <w:rPr>
                <w:rFonts w:ascii="Calibri" w:hAnsi="Calibri"/>
                <w:b/>
                <w:i w:val="0"/>
                <w:color w:val="FFFFFF"/>
                <w:sz w:val="19"/>
              </w:rPr>
            </w:r>
          </w:p>
        </w:tc>
        <w:tc>
          <w:tcPr>
            <w:tcW w:type="dxa" w:w="2016"/>
            <w:shd w:val="clear" w:color="auto" w:fill="0F2D5E"/>
          </w:tcPr>
          <w:p>
            <w:r>
              <w:rPr>
                <w:rFonts w:ascii="Calibri" w:hAnsi="Calibri"/>
                <w:b/>
                <w:i w:val="0"/>
                <w:color w:val="FFFFFF"/>
                <w:sz w:val="19"/>
              </w:rPr>
              <w:t>Option A</w:t>
            </w:r>
          </w:p>
        </w:tc>
        <w:tc>
          <w:tcPr>
            <w:tcW w:type="dxa" w:w="2304"/>
            <w:shd w:val="clear" w:color="auto" w:fill="0F2D5E"/>
          </w:tcPr>
          <w:p>
            <w:r>
              <w:rPr>
                <w:rFonts w:ascii="Calibri" w:hAnsi="Calibri"/>
                <w:b/>
                <w:i w:val="0"/>
                <w:color w:val="FFFFFF"/>
                <w:sz w:val="19"/>
              </w:rPr>
              <w:t>Option B ★</w:t>
            </w:r>
          </w:p>
        </w:tc>
        <w:tc>
          <w:tcPr>
            <w:tcW w:type="dxa" w:w="2016"/>
            <w:shd w:val="clear" w:color="auto" w:fill="0F2D5E"/>
          </w:tcPr>
          <w:p>
            <w:r>
              <w:rPr>
                <w:rFonts w:ascii="Calibri" w:hAnsi="Calibri"/>
                <w:b/>
                <w:i w:val="0"/>
                <w:color w:val="FFFFFF"/>
                <w:sz w:val="19"/>
              </w:rPr>
              <w:t>Option C</w:t>
            </w:r>
          </w:p>
        </w:tc>
      </w:tr>
      <w:tr>
        <w:tc>
          <w:tcPr>
            <w:tcW w:type="dxa" w:w="2592"/>
            <w:shd w:val="clear" w:color="auto" w:fill="F3F4F6"/>
          </w:tcPr>
          <w:p>
            <w:r>
              <w:rPr>
                <w:rFonts w:ascii="Calibri" w:hAnsi="Calibri"/>
                <w:b w:val="0"/>
                <w:i w:val="0"/>
                <w:sz w:val="19"/>
              </w:rPr>
              <w:t>Investment</w:t>
            </w:r>
          </w:p>
        </w:tc>
        <w:tc>
          <w:tcPr>
            <w:tcW w:type="dxa" w:w="2016"/>
            <w:shd w:val="clear" w:color="auto" w:fill="F3F4F6"/>
          </w:tcPr>
          <w:p>
            <w:r>
              <w:rPr>
                <w:rFonts w:ascii="Calibri" w:hAnsi="Calibri"/>
                <w:b w:val="0"/>
                <w:i w:val="0"/>
                <w:sz w:val="19"/>
              </w:rPr>
              <w:t>$350–600K</w:t>
            </w:r>
          </w:p>
        </w:tc>
        <w:tc>
          <w:tcPr>
            <w:tcW w:type="dxa" w:w="2304"/>
            <w:shd w:val="clear" w:color="auto" w:fill="F3F4F6"/>
          </w:tcPr>
          <w:p>
            <w:r>
              <w:rPr>
                <w:rFonts w:ascii="Calibri" w:hAnsi="Calibri"/>
                <w:b w:val="0"/>
                <w:i w:val="0"/>
                <w:sz w:val="19"/>
              </w:rPr>
              <w:t>$1.2–2M</w:t>
            </w:r>
          </w:p>
        </w:tc>
        <w:tc>
          <w:tcPr>
            <w:tcW w:type="dxa" w:w="2016"/>
            <w:shd w:val="clear" w:color="auto" w:fill="F3F4F6"/>
          </w:tcPr>
          <w:p>
            <w:r>
              <w:rPr>
                <w:rFonts w:ascii="Calibri" w:hAnsi="Calibri"/>
                <w:b w:val="0"/>
                <w:i w:val="0"/>
                <w:sz w:val="19"/>
              </w:rPr>
              <w:t>$3–5M</w:t>
            </w:r>
          </w:p>
        </w:tc>
      </w:tr>
      <w:tr>
        <w:tc>
          <w:tcPr>
            <w:tcW w:type="dxa" w:w="2592"/>
            <w:shd w:val="clear" w:color="auto" w:fill="FFFFFF"/>
          </w:tcPr>
          <w:p>
            <w:r>
              <w:rPr>
                <w:rFonts w:ascii="Calibri" w:hAnsi="Calibri"/>
                <w:b w:val="0"/>
                <w:i w:val="0"/>
                <w:sz w:val="19"/>
              </w:rPr>
              <w:t>Annual Benefit (Year 1)</w:t>
            </w:r>
          </w:p>
        </w:tc>
        <w:tc>
          <w:tcPr>
            <w:tcW w:type="dxa" w:w="2016"/>
            <w:shd w:val="clear" w:color="auto" w:fill="FFFFFF"/>
          </w:tcPr>
          <w:p>
            <w:r>
              <w:rPr>
                <w:rFonts w:ascii="Calibri" w:hAnsi="Calibri"/>
                <w:b w:val="0"/>
                <w:i w:val="0"/>
                <w:sz w:val="19"/>
              </w:rPr>
              <w:t>$700K–1.2M</w:t>
            </w:r>
          </w:p>
        </w:tc>
        <w:tc>
          <w:tcPr>
            <w:tcW w:type="dxa" w:w="2304"/>
            <w:shd w:val="clear" w:color="auto" w:fill="FFFFFF"/>
          </w:tcPr>
          <w:p>
            <w:r>
              <w:rPr>
                <w:rFonts w:ascii="Calibri" w:hAnsi="Calibri"/>
                <w:b w:val="0"/>
                <w:i w:val="0"/>
                <w:sz w:val="19"/>
              </w:rPr>
              <w:t>$4.8–8M</w:t>
            </w:r>
          </w:p>
        </w:tc>
        <w:tc>
          <w:tcPr>
            <w:tcW w:type="dxa" w:w="2016"/>
            <w:shd w:val="clear" w:color="auto" w:fill="FFFFFF"/>
          </w:tcPr>
          <w:p>
            <w:r>
              <w:rPr>
                <w:rFonts w:ascii="Calibri" w:hAnsi="Calibri"/>
                <w:b w:val="0"/>
                <w:i w:val="0"/>
                <w:sz w:val="19"/>
              </w:rPr>
              <w:t>$12–20M</w:t>
            </w:r>
          </w:p>
        </w:tc>
      </w:tr>
      <w:tr>
        <w:tc>
          <w:tcPr>
            <w:tcW w:type="dxa" w:w="2592"/>
            <w:shd w:val="clear" w:color="auto" w:fill="F3F4F6"/>
          </w:tcPr>
          <w:p>
            <w:r>
              <w:rPr>
                <w:rFonts w:ascii="Calibri" w:hAnsi="Calibri"/>
                <w:b w:val="0"/>
                <w:i w:val="0"/>
                <w:sz w:val="19"/>
              </w:rPr>
              <w:t>Payback Period</w:t>
            </w:r>
          </w:p>
        </w:tc>
        <w:tc>
          <w:tcPr>
            <w:tcW w:type="dxa" w:w="2016"/>
            <w:shd w:val="clear" w:color="auto" w:fill="F3F4F6"/>
          </w:tcPr>
          <w:p>
            <w:r>
              <w:rPr>
                <w:rFonts w:ascii="Calibri" w:hAnsi="Calibri"/>
                <w:b w:val="0"/>
                <w:i w:val="0"/>
                <w:sz w:val="19"/>
              </w:rPr>
              <w:t>18–24 months</w:t>
            </w:r>
          </w:p>
        </w:tc>
        <w:tc>
          <w:tcPr>
            <w:tcW w:type="dxa" w:w="2304"/>
            <w:shd w:val="clear" w:color="auto" w:fill="F3F4F6"/>
          </w:tcPr>
          <w:p>
            <w:r>
              <w:rPr>
                <w:rFonts w:ascii="Calibri" w:hAnsi="Calibri"/>
                <w:b w:val="0"/>
                <w:i w:val="0"/>
                <w:sz w:val="19"/>
              </w:rPr>
              <w:t>10–16 months</w:t>
            </w:r>
          </w:p>
        </w:tc>
        <w:tc>
          <w:tcPr>
            <w:tcW w:type="dxa" w:w="2016"/>
            <w:shd w:val="clear" w:color="auto" w:fill="F3F4F6"/>
          </w:tcPr>
          <w:p>
            <w:r>
              <w:rPr>
                <w:rFonts w:ascii="Calibri" w:hAnsi="Calibri"/>
                <w:b w:val="0"/>
                <w:i w:val="0"/>
                <w:sz w:val="19"/>
              </w:rPr>
              <w:t>12–24 months</w:t>
            </w:r>
          </w:p>
        </w:tc>
      </w:tr>
      <w:tr>
        <w:tc>
          <w:tcPr>
            <w:tcW w:type="dxa" w:w="2592"/>
            <w:shd w:val="clear" w:color="auto" w:fill="FFFFFF"/>
          </w:tcPr>
          <w:p>
            <w:r>
              <w:rPr>
                <w:rFonts w:ascii="Calibri" w:hAnsi="Calibri"/>
                <w:b w:val="0"/>
                <w:i w:val="0"/>
                <w:sz w:val="19"/>
              </w:rPr>
              <w:t>5-Year NPV</w:t>
            </w:r>
          </w:p>
        </w:tc>
        <w:tc>
          <w:tcPr>
            <w:tcW w:type="dxa" w:w="2016"/>
            <w:shd w:val="clear" w:color="auto" w:fill="FFFFFF"/>
          </w:tcPr>
          <w:p>
            <w:r>
              <w:rPr>
                <w:rFonts w:ascii="Calibri" w:hAnsi="Calibri"/>
                <w:b w:val="0"/>
                <w:i w:val="0"/>
                <w:sz w:val="19"/>
              </w:rPr>
              <w:t>$2–4M</w:t>
            </w:r>
          </w:p>
        </w:tc>
        <w:tc>
          <w:tcPr>
            <w:tcW w:type="dxa" w:w="2304"/>
            <w:shd w:val="clear" w:color="auto" w:fill="FFFFFF"/>
          </w:tcPr>
          <w:p>
            <w:r>
              <w:rPr>
                <w:rFonts w:ascii="Calibri" w:hAnsi="Calibri"/>
                <w:b w:val="0"/>
                <w:i w:val="0"/>
                <w:sz w:val="19"/>
              </w:rPr>
              <w:t>$18–35M</w:t>
            </w:r>
          </w:p>
        </w:tc>
        <w:tc>
          <w:tcPr>
            <w:tcW w:type="dxa" w:w="2016"/>
            <w:shd w:val="clear" w:color="auto" w:fill="FFFFFF"/>
          </w:tcPr>
          <w:p>
            <w:r>
              <w:rPr>
                <w:rFonts w:ascii="Calibri" w:hAnsi="Calibri"/>
                <w:b w:val="0"/>
                <w:i w:val="0"/>
                <w:sz w:val="19"/>
              </w:rPr>
              <w:t>$45–80M</w:t>
            </w:r>
          </w:p>
        </w:tc>
      </w:tr>
      <w:tr>
        <w:tc>
          <w:tcPr>
            <w:tcW w:type="dxa" w:w="2592"/>
            <w:shd w:val="clear" w:color="auto" w:fill="F3F4F6"/>
          </w:tcPr>
          <w:p>
            <w:r>
              <w:rPr>
                <w:rFonts w:ascii="Calibri" w:hAnsi="Calibri"/>
                <w:b w:val="0"/>
                <w:i w:val="0"/>
                <w:sz w:val="19"/>
              </w:rPr>
              <w:t>ROI Multiple</w:t>
            </w:r>
          </w:p>
        </w:tc>
        <w:tc>
          <w:tcPr>
            <w:tcW w:type="dxa" w:w="2016"/>
            <w:shd w:val="clear" w:color="auto" w:fill="F3F4F6"/>
          </w:tcPr>
          <w:p>
            <w:r>
              <w:rPr>
                <w:rFonts w:ascii="Calibri" w:hAnsi="Calibri"/>
                <w:b w:val="0"/>
                <w:i w:val="0"/>
                <w:sz w:val="19"/>
              </w:rPr>
              <w:t>2–3×</w:t>
            </w:r>
          </w:p>
        </w:tc>
        <w:tc>
          <w:tcPr>
            <w:tcW w:type="dxa" w:w="2304"/>
            <w:shd w:val="clear" w:color="auto" w:fill="F3F4F6"/>
          </w:tcPr>
          <w:p>
            <w:r>
              <w:rPr>
                <w:rFonts w:ascii="Calibri" w:hAnsi="Calibri"/>
                <w:b w:val="0"/>
                <w:i w:val="0"/>
                <w:sz w:val="19"/>
              </w:rPr>
              <w:t>4–6×</w:t>
            </w:r>
          </w:p>
        </w:tc>
        <w:tc>
          <w:tcPr>
            <w:tcW w:type="dxa" w:w="2016"/>
            <w:shd w:val="clear" w:color="auto" w:fill="F3F4F6"/>
          </w:tcPr>
          <w:p>
            <w:r>
              <w:rPr>
                <w:rFonts w:ascii="Calibri" w:hAnsi="Calibri"/>
                <w:b w:val="0"/>
                <w:i w:val="0"/>
                <w:sz w:val="19"/>
              </w:rPr>
              <w:t>8–12×</w:t>
            </w:r>
          </w:p>
        </w:tc>
      </w:tr>
    </w:tbl>
    <w:p/>
    <w:p>
      <w:pPr>
        <w:spacing w:before="240" w:after="80"/>
      </w:pPr>
      <w:r>
        <w:rPr>
          <w:rFonts w:ascii="Calibri" w:hAnsi="Calibri"/>
          <w:b/>
          <w:i w:val="0"/>
          <w:color w:val="2563EB"/>
          <w:sz w:val="26"/>
        </w:rPr>
        <w:t>US Bank Reference Model</w:t>
      </w:r>
    </w:p>
    <w:p>
      <w:pPr>
        <w:spacing w:after="80"/>
      </w:pPr>
      <w:r>
        <w:rPr>
          <w:rFonts w:ascii="Calibri" w:hAnsi="Calibri"/>
          <w:b w:val="0"/>
          <w:i w:val="0"/>
          <w:sz w:val="21"/>
        </w:rPr>
        <w:t>US Bank / Team Phoenix provides the most complete public example of the Option B business case in financial services:</w:t>
      </w:r>
    </w:p>
    <w:tbl>
      <w:tblPr>
        <w:tblStyle w:val="TableGrid"/>
        <w:tblW w:type="auto" w:w="0"/>
        <w:tblLook w:firstColumn="1" w:firstRow="1" w:lastColumn="0" w:lastRow="0" w:noHBand="0" w:noVBand="1" w:val="04A0"/>
      </w:tblPr>
      <w:tblGrid>
        <w:gridCol w:w="2340"/>
        <w:gridCol w:w="2340"/>
        <w:gridCol w:w="2340"/>
        <w:gridCol w:w="2340"/>
      </w:tblGrid>
      <w:tr>
        <w:tc>
          <w:tcPr>
            <w:tcW w:type="dxa" w:w="2592"/>
            <w:shd w:val="clear" w:color="auto" w:fill="0F2D5E"/>
          </w:tcPr>
          <w:p>
            <w:r>
              <w:rPr>
                <w:rFonts w:ascii="Calibri" w:hAnsi="Calibri"/>
                <w:b/>
                <w:i w:val="0"/>
                <w:color w:val="FFFFFF"/>
                <w:sz w:val="19"/>
              </w:rPr>
              <w:t>Metric</w:t>
            </w:r>
          </w:p>
        </w:tc>
        <w:tc>
          <w:tcPr>
            <w:tcW w:type="dxa" w:w="2016"/>
            <w:shd w:val="clear" w:color="auto" w:fill="0F2D5E"/>
          </w:tcPr>
          <w:p>
            <w:r>
              <w:rPr>
                <w:rFonts w:ascii="Calibri" w:hAnsi="Calibri"/>
                <w:b/>
                <w:i w:val="0"/>
                <w:color w:val="FFFFFF"/>
                <w:sz w:val="19"/>
              </w:rPr>
              <w:t>Before</w:t>
            </w:r>
          </w:p>
        </w:tc>
        <w:tc>
          <w:tcPr>
            <w:tcW w:type="dxa" w:w="2016"/>
            <w:shd w:val="clear" w:color="auto" w:fill="0F2D5E"/>
          </w:tcPr>
          <w:p>
            <w:r>
              <w:rPr>
                <w:rFonts w:ascii="Calibri" w:hAnsi="Calibri"/>
                <w:b/>
                <w:i w:val="0"/>
                <w:color w:val="FFFFFF"/>
                <w:sz w:val="19"/>
              </w:rPr>
              <w:t>After</w:t>
            </w:r>
          </w:p>
        </w:tc>
        <w:tc>
          <w:tcPr>
            <w:tcW w:type="dxa" w:w="2304"/>
            <w:shd w:val="clear" w:color="auto" w:fill="0F2D5E"/>
          </w:tcPr>
          <w:p>
            <w:r>
              <w:rPr>
                <w:rFonts w:ascii="Calibri" w:hAnsi="Calibri"/>
                <w:b/>
                <w:i w:val="0"/>
                <w:color w:val="FFFFFF"/>
                <w:sz w:val="19"/>
              </w:rPr>
              <w:t>Impact</w:t>
            </w:r>
          </w:p>
        </w:tc>
      </w:tr>
      <w:tr>
        <w:tc>
          <w:tcPr>
            <w:tcW w:type="dxa" w:w="2592"/>
            <w:shd w:val="clear" w:color="auto" w:fill="F3F4F6"/>
          </w:tcPr>
          <w:p>
            <w:r>
              <w:rPr>
                <w:rFonts w:ascii="Calibri" w:hAnsi="Calibri"/>
                <w:b w:val="0"/>
                <w:i w:val="0"/>
                <w:sz w:val="19"/>
              </w:rPr>
              <w:t>Lead Time</w:t>
            </w:r>
          </w:p>
        </w:tc>
        <w:tc>
          <w:tcPr>
            <w:tcW w:type="dxa" w:w="2016"/>
            <w:shd w:val="clear" w:color="auto" w:fill="F3F4F6"/>
          </w:tcPr>
          <w:p>
            <w:r>
              <w:rPr>
                <w:rFonts w:ascii="Calibri" w:hAnsi="Calibri"/>
                <w:b w:val="0"/>
                <w:i w:val="0"/>
                <w:sz w:val="19"/>
              </w:rPr>
              <w:t>42 business days</w:t>
            </w:r>
          </w:p>
        </w:tc>
        <w:tc>
          <w:tcPr>
            <w:tcW w:type="dxa" w:w="2016"/>
            <w:shd w:val="clear" w:color="auto" w:fill="F3F4F6"/>
          </w:tcPr>
          <w:p>
            <w:r>
              <w:rPr>
                <w:rFonts w:ascii="Calibri" w:hAnsi="Calibri"/>
                <w:b w:val="0"/>
                <w:i w:val="0"/>
                <w:sz w:val="19"/>
              </w:rPr>
              <w:t>8 business days</w:t>
            </w:r>
          </w:p>
        </w:tc>
        <w:tc>
          <w:tcPr>
            <w:tcW w:type="dxa" w:w="2304"/>
            <w:shd w:val="clear" w:color="auto" w:fill="F3F4F6"/>
          </w:tcPr>
          <w:p>
            <w:r>
              <w:rPr>
                <w:rFonts w:ascii="Calibri" w:hAnsi="Calibri"/>
                <w:b w:val="0"/>
                <w:i w:val="0"/>
                <w:sz w:val="19"/>
              </w:rPr>
              <w:t>81% reduction</w:t>
            </w:r>
          </w:p>
        </w:tc>
      </w:tr>
      <w:tr>
        <w:tc>
          <w:tcPr>
            <w:tcW w:type="dxa" w:w="2592"/>
            <w:shd w:val="clear" w:color="auto" w:fill="FFFFFF"/>
          </w:tcPr>
          <w:p>
            <w:r>
              <w:rPr>
                <w:rFonts w:ascii="Calibri" w:hAnsi="Calibri"/>
                <w:b w:val="0"/>
                <w:i w:val="0"/>
                <w:sz w:val="19"/>
              </w:rPr>
              <w:t>Flow Efficiency</w:t>
            </w:r>
          </w:p>
        </w:tc>
        <w:tc>
          <w:tcPr>
            <w:tcW w:type="dxa" w:w="2016"/>
            <w:shd w:val="clear" w:color="auto" w:fill="FFFFFF"/>
          </w:tcPr>
          <w:p>
            <w:r>
              <w:rPr>
                <w:rFonts w:ascii="Calibri" w:hAnsi="Calibri"/>
                <w:b w:val="0"/>
                <w:i w:val="0"/>
                <w:sz w:val="19"/>
              </w:rPr>
              <w:t>17.8%</w:t>
            </w:r>
          </w:p>
        </w:tc>
        <w:tc>
          <w:tcPr>
            <w:tcW w:type="dxa" w:w="2016"/>
            <w:shd w:val="clear" w:color="auto" w:fill="FFFFFF"/>
          </w:tcPr>
          <w:p>
            <w:r>
              <w:rPr>
                <w:rFonts w:ascii="Calibri" w:hAnsi="Calibri"/>
                <w:b w:val="0"/>
                <w:i w:val="0"/>
                <w:sz w:val="19"/>
              </w:rPr>
              <w:t>61%</w:t>
            </w:r>
          </w:p>
        </w:tc>
        <w:tc>
          <w:tcPr>
            <w:tcW w:type="dxa" w:w="2304"/>
            <w:shd w:val="clear" w:color="auto" w:fill="FFFFFF"/>
          </w:tcPr>
          <w:p>
            <w:r>
              <w:rPr>
                <w:rFonts w:ascii="Calibri" w:hAnsi="Calibri"/>
                <w:b w:val="0"/>
                <w:i w:val="0"/>
                <w:sz w:val="19"/>
              </w:rPr>
              <w:t>+43.2 pp</w:t>
            </w:r>
          </w:p>
        </w:tc>
      </w:tr>
      <w:tr>
        <w:tc>
          <w:tcPr>
            <w:tcW w:type="dxa" w:w="2592"/>
            <w:shd w:val="clear" w:color="auto" w:fill="F3F4F6"/>
          </w:tcPr>
          <w:p>
            <w:r>
              <w:rPr>
                <w:rFonts w:ascii="Calibri" w:hAnsi="Calibri"/>
                <w:b w:val="0"/>
                <w:i w:val="0"/>
                <w:sz w:val="19"/>
              </w:rPr>
              <w:t>Investment</w:t>
            </w:r>
          </w:p>
        </w:tc>
        <w:tc>
          <w:tcPr>
            <w:tcW w:type="dxa" w:w="2016"/>
            <w:shd w:val="clear" w:color="auto" w:fill="F3F4F6"/>
          </w:tcPr>
          <w:p>
            <w:r>
              <w:rPr>
                <w:rFonts w:ascii="Calibri" w:hAnsi="Calibri"/>
                <w:b w:val="0"/>
                <w:i w:val="0"/>
                <w:sz w:val="19"/>
              </w:rPr>
              <w:t>—</w:t>
            </w:r>
          </w:p>
        </w:tc>
        <w:tc>
          <w:tcPr>
            <w:tcW w:type="dxa" w:w="2016"/>
            <w:shd w:val="clear" w:color="auto" w:fill="F3F4F6"/>
          </w:tcPr>
          <w:p>
            <w:r>
              <w:rPr>
                <w:rFonts w:ascii="Calibri" w:hAnsi="Calibri"/>
                <w:b w:val="0"/>
                <w:i w:val="0"/>
                <w:sz w:val="19"/>
              </w:rPr>
              <w:t>$3.0M</w:t>
            </w:r>
          </w:p>
        </w:tc>
        <w:tc>
          <w:tcPr>
            <w:tcW w:type="dxa" w:w="2304"/>
            <w:shd w:val="clear" w:color="auto" w:fill="F3F4F6"/>
          </w:tcPr>
          <w:p>
            <w:r>
              <w:rPr>
                <w:rFonts w:ascii="Calibri" w:hAnsi="Calibri"/>
                <w:b w:val="0"/>
                <w:i w:val="0"/>
                <w:sz w:val="19"/>
              </w:rPr>
              <w:t>Option B</w:t>
            </w:r>
          </w:p>
        </w:tc>
      </w:tr>
      <w:tr>
        <w:tc>
          <w:tcPr>
            <w:tcW w:type="dxa" w:w="2592"/>
            <w:shd w:val="clear" w:color="auto" w:fill="FFFFFF"/>
          </w:tcPr>
          <w:p>
            <w:r>
              <w:rPr>
                <w:rFonts w:ascii="Calibri" w:hAnsi="Calibri"/>
                <w:b w:val="0"/>
                <w:i w:val="0"/>
                <w:sz w:val="19"/>
              </w:rPr>
              <w:t>Annual Benefit</w:t>
            </w:r>
          </w:p>
        </w:tc>
        <w:tc>
          <w:tcPr>
            <w:tcW w:type="dxa" w:w="2016"/>
            <w:shd w:val="clear" w:color="auto" w:fill="FFFFFF"/>
          </w:tcPr>
          <w:p>
            <w:r>
              <w:rPr>
                <w:rFonts w:ascii="Calibri" w:hAnsi="Calibri"/>
                <w:b w:val="0"/>
                <w:i w:val="0"/>
                <w:sz w:val="19"/>
              </w:rPr>
              <w:t>—</w:t>
            </w:r>
          </w:p>
        </w:tc>
        <w:tc>
          <w:tcPr>
            <w:tcW w:type="dxa" w:w="2016"/>
            <w:shd w:val="clear" w:color="auto" w:fill="FFFFFF"/>
          </w:tcPr>
          <w:p>
            <w:r>
              <w:rPr>
                <w:rFonts w:ascii="Calibri" w:hAnsi="Calibri"/>
                <w:b w:val="0"/>
                <w:i w:val="0"/>
                <w:sz w:val="19"/>
              </w:rPr>
              <w:t>$8.4M/year</w:t>
            </w:r>
          </w:p>
        </w:tc>
        <w:tc>
          <w:tcPr>
            <w:tcW w:type="dxa" w:w="2304"/>
            <w:shd w:val="clear" w:color="auto" w:fill="FFFFFF"/>
          </w:tcPr>
          <w:p>
            <w:r>
              <w:rPr>
                <w:rFonts w:ascii="Calibri" w:hAnsi="Calibri"/>
                <w:b w:val="0"/>
                <w:i w:val="0"/>
                <w:sz w:val="19"/>
              </w:rPr>
              <w:t>Measured</w:t>
            </w:r>
          </w:p>
        </w:tc>
      </w:tr>
      <w:tr>
        <w:tc>
          <w:tcPr>
            <w:tcW w:type="dxa" w:w="2592"/>
            <w:shd w:val="clear" w:color="auto" w:fill="F3F4F6"/>
          </w:tcPr>
          <w:p>
            <w:r>
              <w:rPr>
                <w:rFonts w:ascii="Calibri" w:hAnsi="Calibri"/>
                <w:b w:val="0"/>
                <w:i w:val="0"/>
                <w:sz w:val="19"/>
              </w:rPr>
              <w:t>ROI</w:t>
            </w:r>
          </w:p>
        </w:tc>
        <w:tc>
          <w:tcPr>
            <w:tcW w:type="dxa" w:w="2016"/>
            <w:shd w:val="clear" w:color="auto" w:fill="F3F4F6"/>
          </w:tcPr>
          <w:p>
            <w:r>
              <w:rPr>
                <w:rFonts w:ascii="Calibri" w:hAnsi="Calibri"/>
                <w:b w:val="0"/>
                <w:i w:val="0"/>
                <w:sz w:val="19"/>
              </w:rPr>
              <w:t>—</w:t>
            </w:r>
          </w:p>
        </w:tc>
        <w:tc>
          <w:tcPr>
            <w:tcW w:type="dxa" w:w="2016"/>
            <w:shd w:val="clear" w:color="auto" w:fill="F3F4F6"/>
          </w:tcPr>
          <w:p>
            <w:r>
              <w:rPr>
                <w:rFonts w:ascii="Calibri" w:hAnsi="Calibri"/>
                <w:b w:val="0"/>
                <w:i w:val="0"/>
                <w:sz w:val="19"/>
              </w:rPr>
              <w:t>4.2×</w:t>
            </w:r>
          </w:p>
        </w:tc>
        <w:tc>
          <w:tcPr>
            <w:tcW w:type="dxa" w:w="2304"/>
            <w:shd w:val="clear" w:color="auto" w:fill="F3F4F6"/>
          </w:tcPr>
          <w:p>
            <w:r>
              <w:rPr>
                <w:rFonts w:ascii="Calibri" w:hAnsi="Calibri"/>
                <w:b w:val="0"/>
                <w:i w:val="0"/>
                <w:sz w:val="19"/>
              </w:rPr>
              <w:t>14-month payback</w:t>
            </w:r>
          </w:p>
        </w:tc>
      </w:tr>
      <w:tr>
        <w:tc>
          <w:tcPr>
            <w:tcW w:type="dxa" w:w="2592"/>
            <w:shd w:val="clear" w:color="auto" w:fill="FFFFFF"/>
          </w:tcPr>
          <w:p>
            <w:r>
              <w:rPr>
                <w:rFonts w:ascii="Calibri" w:hAnsi="Calibri"/>
                <w:b w:val="0"/>
                <w:i w:val="0"/>
                <w:sz w:val="19"/>
              </w:rPr>
              <w:t>5-Year NPV</w:t>
            </w:r>
          </w:p>
        </w:tc>
        <w:tc>
          <w:tcPr>
            <w:tcW w:type="dxa" w:w="2016"/>
            <w:shd w:val="clear" w:color="auto" w:fill="FFFFFF"/>
          </w:tcPr>
          <w:p>
            <w:r>
              <w:rPr>
                <w:rFonts w:ascii="Calibri" w:hAnsi="Calibri"/>
                <w:b w:val="0"/>
                <w:i w:val="0"/>
                <w:sz w:val="19"/>
              </w:rPr>
              <w:t>—</w:t>
            </w:r>
          </w:p>
        </w:tc>
        <w:tc>
          <w:tcPr>
            <w:tcW w:type="dxa" w:w="2016"/>
            <w:shd w:val="clear" w:color="auto" w:fill="FFFFFF"/>
          </w:tcPr>
          <w:p>
            <w:r>
              <w:rPr>
                <w:rFonts w:ascii="Calibri" w:hAnsi="Calibri"/>
                <w:b w:val="0"/>
                <w:i w:val="0"/>
                <w:sz w:val="19"/>
              </w:rPr>
              <w:t>$31.2M</w:t>
            </w:r>
          </w:p>
        </w:tc>
        <w:tc>
          <w:tcPr>
            <w:tcW w:type="dxa" w:w="2304"/>
            <w:shd w:val="clear" w:color="auto" w:fill="FFFFFF"/>
          </w:tcPr>
          <w:p>
            <w:r>
              <w:rPr>
                <w:rFonts w:ascii="Calibri" w:hAnsi="Calibri"/>
                <w:b w:val="0"/>
                <w:i w:val="0"/>
                <w:sz w:val="19"/>
              </w:rPr>
              <w:t>Conservative estimate</w:t>
            </w:r>
          </w:p>
        </w:tc>
      </w:tr>
    </w:tbl>
    <w:p/>
    <w:p>
      <w:pPr>
        <w:spacing w:before="60" w:after="60"/>
        <w:pBdr>
          <w:bottom w:val="single" w:sz="6" w:space="1" w:color="2563EB"/>
        </w:pBdr>
      </w:pPr>
    </w:p>
    <w:p>
      <w:pPr>
        <w:spacing w:before="400" w:after="120"/>
      </w:pPr>
      <w:r>
        <w:rPr>
          <w:rFonts w:ascii="Calibri" w:hAnsi="Calibri"/>
          <w:b/>
          <w:i w:val="0"/>
          <w:color w:val="0F2D5E"/>
          <w:sz w:val="32"/>
        </w:rPr>
        <w:t>Section 5: Implementation — From Quick Wins to Full Autonomy</w:t>
      </w:r>
    </w:p>
    <w:p>
      <w:pPr>
        <w:spacing w:before="240" w:after="80"/>
      </w:pPr>
      <w:r>
        <w:rPr>
          <w:rFonts w:ascii="Calibri" w:hAnsi="Calibri"/>
          <w:b/>
          <w:i w:val="0"/>
          <w:color w:val="2563EB"/>
          <w:sz w:val="26"/>
        </w:rPr>
        <w:t>Phase 3 Deliver: The Three Horizons</w:t>
      </w:r>
    </w:p>
    <w:p>
      <w:pPr>
        <w:spacing w:after="80"/>
      </w:pPr>
      <w:r>
        <w:rPr>
          <w:rFonts w:ascii="Calibri" w:hAnsi="Calibri"/>
          <w:b w:val="0"/>
          <w:i w:val="0"/>
          <w:sz w:val="21"/>
        </w:rPr>
        <w:t>Implementation is sequenced across three horizons, regardless of which option is selected. This structure ensures early value realisation, stakeholder confidence, and sustainable capability building.</w:t>
      </w:r>
    </w:p>
    <w:p>
      <w:pPr>
        <w:spacing w:before="160" w:after="60"/>
      </w:pPr>
      <w:r>
        <w:rPr>
          <w:rFonts w:ascii="Calibri" w:hAnsi="Calibri"/>
          <w:b/>
          <w:i w:val="0"/>
          <w:color w:val="0F2D5E"/>
          <w:sz w:val="22"/>
        </w:rPr>
        <w:t>Horizon 1: Quick Wins (0–90 Days)</w:t>
      </w:r>
    </w:p>
    <w:p>
      <w:pPr>
        <w:spacing w:after="80"/>
      </w:pPr>
      <w:r>
        <w:rPr>
          <w:rFonts w:ascii="Calibri" w:hAnsi="Calibri"/>
          <w:b w:val="0"/>
          <w:i w:val="0"/>
          <w:sz w:val="21"/>
        </w:rPr>
        <w:t>Eliminate the most costly bottlenecks identified in Phase 1 without waiting for the full transformation to be complete. Typical quick wins include:</w:t>
      </w:r>
    </w:p>
    <w:p>
      <w:pPr>
        <w:pStyle w:val="ListBullet"/>
        <w:spacing w:after="40"/>
        <w:ind w:left="432"/>
      </w:pPr>
      <w:r>
        <w:rPr>
          <w:rFonts w:ascii="Calibri" w:hAnsi="Calibri"/>
          <w:b w:val="0"/>
          <w:i w:val="0"/>
          <w:sz w:val="21"/>
        </w:rPr>
        <w:t>Automated queue monitoring and escalation alerts at top-3 bottleneck steps</w:t>
      </w:r>
    </w:p>
    <w:p>
      <w:pPr>
        <w:pStyle w:val="ListBullet"/>
        <w:spacing w:after="40"/>
        <w:ind w:left="432"/>
      </w:pPr>
      <w:r>
        <w:rPr>
          <w:rFonts w:ascii="Calibri" w:hAnsi="Calibri"/>
          <w:b w:val="0"/>
          <w:i w:val="0"/>
          <w:sz w:val="21"/>
        </w:rPr>
        <w:t>Code review automation reducing review cycle from 5 days to same-day</w:t>
      </w:r>
    </w:p>
    <w:p>
      <w:pPr>
        <w:pStyle w:val="ListBullet"/>
        <w:spacing w:after="40"/>
        <w:ind w:left="432"/>
      </w:pPr>
      <w:r>
        <w:rPr>
          <w:rFonts w:ascii="Calibri" w:hAnsi="Calibri"/>
          <w:b w:val="0"/>
          <w:i w:val="0"/>
          <w:sz w:val="21"/>
        </w:rPr>
        <w:t>Environment provisioning automation eliminating the most common 3–5 day wait</w:t>
      </w:r>
    </w:p>
    <w:p>
      <w:pPr>
        <w:pStyle w:val="ListBullet"/>
        <w:spacing w:after="40"/>
        <w:ind w:left="432"/>
      </w:pPr>
      <w:r>
        <w:rPr>
          <w:rFonts w:ascii="Calibri" w:hAnsi="Calibri"/>
          <w:b w:val="0"/>
          <w:i w:val="0"/>
          <w:sz w:val="21"/>
        </w:rPr>
        <w:t>Sprint planning AI assistance reducing planning waste by 30%</w:t>
      </w:r>
    </w:p>
    <w:p>
      <w:pPr>
        <w:spacing w:after="80"/>
      </w:pPr>
      <w:r>
        <w:rPr>
          <w:rFonts w:ascii="Calibri" w:hAnsi="Calibri"/>
          <w:b w:val="0"/>
          <w:i w:val="0"/>
          <w:sz w:val="21"/>
        </w:rPr>
        <w:t>Horizon 1 typically delivers 15–25% of the total programme benefit within 90 days — creating proof points for board reporting and stakeholder confidence.</w:t>
      </w:r>
    </w:p>
    <w:p>
      <w:pPr>
        <w:spacing w:before="160" w:after="60"/>
      </w:pPr>
      <w:r>
        <w:rPr>
          <w:rFonts w:ascii="Calibri" w:hAnsi="Calibri"/>
          <w:b/>
          <w:i w:val="0"/>
          <w:color w:val="0F2D5E"/>
          <w:sz w:val="22"/>
        </w:rPr>
        <w:t>Horizon 2: Core Transformation (90 Days–12 Months)</w:t>
      </w:r>
    </w:p>
    <w:p>
      <w:pPr>
        <w:spacing w:after="80"/>
      </w:pPr>
      <w:r>
        <w:rPr>
          <w:rFonts w:ascii="Calibri" w:hAnsi="Calibri"/>
          <w:b w:val="0"/>
          <w:i w:val="0"/>
          <w:sz w:val="21"/>
        </w:rPr>
        <w:t>Deploy the core AI agents and automation corresponding to the selected option. Establish governance gates (Option B) or automation frameworks (Option C). Measure and report benefits against the Phase 1 baseline.</w:t>
      </w:r>
    </w:p>
    <w:p>
      <w:pPr>
        <w:spacing w:before="160" w:after="60"/>
      </w:pPr>
      <w:r>
        <w:rPr>
          <w:rFonts w:ascii="Calibri" w:hAnsi="Calibri"/>
          <w:b/>
          <w:i w:val="0"/>
          <w:color w:val="0F2D5E"/>
          <w:sz w:val="22"/>
        </w:rPr>
        <w:t>Horizon 3: Optimisation and Scale (12–24 Months)</w:t>
      </w:r>
    </w:p>
    <w:p>
      <w:pPr>
        <w:spacing w:after="80"/>
      </w:pPr>
      <w:r>
        <w:rPr>
          <w:rFonts w:ascii="Calibri" w:hAnsi="Calibri"/>
          <w:b w:val="0"/>
          <w:i w:val="0"/>
          <w:sz w:val="21"/>
        </w:rPr>
        <w:t>Extend the transformation across additional teams, products, or business units. Optimise agent performance based on 12 months of operational data. Prepare the foundations for the next option tier if appetite has grown.</w:t>
      </w:r>
    </w:p>
    <w:p>
      <w:pPr>
        <w:spacing w:before="60" w:after="60"/>
        <w:pBdr>
          <w:bottom w:val="single" w:sz="6" w:space="1" w:color="2563EB"/>
        </w:pBdr>
      </w:pPr>
    </w:p>
    <w:p>
      <w:pPr>
        <w:spacing w:before="400" w:after="120"/>
      </w:pPr>
      <w:r>
        <w:rPr>
          <w:rFonts w:ascii="Calibri" w:hAnsi="Calibri"/>
          <w:b/>
          <w:i w:val="0"/>
          <w:color w:val="0F2D5E"/>
          <w:sz w:val="32"/>
        </w:rPr>
        <w:t>Section 6: The Role of AI-Accelerated Diagnosis in Reducing Transformation Risk</w:t>
      </w:r>
    </w:p>
    <w:p>
      <w:pPr>
        <w:spacing w:before="240" w:after="80"/>
      </w:pPr>
      <w:r>
        <w:rPr>
          <w:rFonts w:ascii="Calibri" w:hAnsi="Calibri"/>
          <w:b/>
          <w:i w:val="0"/>
          <w:color w:val="2563EB"/>
          <w:sz w:val="26"/>
        </w:rPr>
        <w:t>Why Diagnosis is the Risk-Reduction Strategy</w:t>
      </w:r>
    </w:p>
    <w:p>
      <w:pPr>
        <w:spacing w:after="80"/>
      </w:pPr>
      <w:r>
        <w:rPr>
          <w:rFonts w:ascii="Calibri" w:hAnsi="Calibri"/>
          <w:b w:val="0"/>
          <w:i w:val="0"/>
          <w:sz w:val="21"/>
        </w:rPr>
        <w:t>The single most reliable predictor of transformation programme failure is beginning with a solution before understanding the problem at the required level of precision. The Phase 1 Diagnose engagement — and the AI-powered platform that accelerates it — is fundamentally a risk-reduction investment.</w:t>
      </w:r>
    </w:p>
    <w:p>
      <w:pPr>
        <w:spacing w:after="80"/>
      </w:pPr>
      <w:r>
        <w:rPr>
          <w:rFonts w:ascii="Calibri" w:hAnsi="Calibri"/>
          <w:b w:val="0"/>
          <w:i w:val="0"/>
          <w:sz w:val="21"/>
        </w:rPr>
        <w:t>By compressing a 3-month VSM process into 8 weeks (including analysis and option design), the platform allows organisations to:</w:t>
      </w:r>
    </w:p>
    <w:p>
      <w:pPr>
        <w:pStyle w:val="ListBullet"/>
        <w:spacing w:after="40"/>
        <w:ind w:left="432"/>
      </w:pPr>
      <w:r>
        <w:rPr>
          <w:rFonts w:ascii="Calibri" w:hAnsi="Calibri"/>
          <w:b w:val="0"/>
          <w:i w:val="0"/>
          <w:sz w:val="21"/>
        </w:rPr>
        <w:t>Test assumptions about where waste lives before committing transformation investment</w:t>
      </w:r>
    </w:p>
    <w:p>
      <w:pPr>
        <w:pStyle w:val="ListBullet"/>
        <w:spacing w:after="40"/>
        <w:ind w:left="432"/>
      </w:pPr>
      <w:r>
        <w:rPr>
          <w:rFonts w:ascii="Calibri" w:hAnsi="Calibri"/>
          <w:b w:val="0"/>
          <w:i w:val="0"/>
          <w:sz w:val="21"/>
        </w:rPr>
        <w:t>Build the financial case with data, not estimates, before board approval</w:t>
      </w:r>
    </w:p>
    <w:p>
      <w:pPr>
        <w:pStyle w:val="ListBullet"/>
        <w:spacing w:after="40"/>
        <w:ind w:left="432"/>
      </w:pPr>
      <w:r>
        <w:rPr>
          <w:rFonts w:ascii="Calibri" w:hAnsi="Calibri"/>
          <w:b w:val="0"/>
          <w:i w:val="0"/>
          <w:sz w:val="21"/>
        </w:rPr>
        <w:t>Identify the right option (A, B, or C) based on evidence rather than aspiration</w:t>
      </w:r>
    </w:p>
    <w:p>
      <w:pPr>
        <w:pStyle w:val="ListBullet"/>
        <w:spacing w:after="40"/>
        <w:ind w:left="432"/>
      </w:pPr>
      <w:r>
        <w:rPr>
          <w:rFonts w:ascii="Calibri" w:hAnsi="Calibri"/>
          <w:b w:val="0"/>
          <w:i w:val="0"/>
          <w:sz w:val="21"/>
        </w:rPr>
        <w:t>Establish a quantified baseline against which transformation benefits can be measured</w:t>
      </w:r>
    </w:p>
    <w:p>
      <w:pPr>
        <w:spacing w:before="240" w:after="80"/>
      </w:pPr>
      <w:r>
        <w:rPr>
          <w:rFonts w:ascii="Calibri" w:hAnsi="Calibri"/>
          <w:b/>
          <w:i w:val="0"/>
          <w:color w:val="2563EB"/>
          <w:sz w:val="26"/>
        </w:rPr>
        <w:t>The 5× Acceleration Advantage</w:t>
      </w:r>
    </w:p>
    <w:p>
      <w:pPr>
        <w:spacing w:after="80"/>
      </w:pPr>
      <w:r>
        <w:rPr>
          <w:rFonts w:ascii="Calibri" w:hAnsi="Calibri"/>
          <w:b w:val="0"/>
          <w:i w:val="0"/>
          <w:sz w:val="21"/>
        </w:rPr>
        <w:t>Traditional current state VSM for an enterprise software team requires: workshops (3–5 days), manual data extraction (2–4 weeks), analysis (4–6 weeks), and report production (2–3 weeks). Total: 10–14 weeks minimum.</w:t>
      </w:r>
    </w:p>
    <w:p>
      <w:pPr>
        <w:spacing w:after="80"/>
      </w:pPr>
      <w:r>
        <w:rPr>
          <w:rFonts w:ascii="Calibri" w:hAnsi="Calibri"/>
          <w:b w:val="0"/>
          <w:i w:val="0"/>
          <w:sz w:val="21"/>
        </w:rPr>
        <w:t>The STUMP accelerates this to:</w:t>
      </w:r>
    </w:p>
    <w:p>
      <w:pPr>
        <w:pStyle w:val="ListBullet"/>
        <w:spacing w:after="40"/>
        <w:ind w:left="432"/>
      </w:pPr>
      <w:r>
        <w:rPr>
          <w:rFonts w:ascii="Calibri" w:hAnsi="Calibri"/>
          <w:b w:val="0"/>
          <w:i w:val="0"/>
          <w:sz w:val="21"/>
        </w:rPr>
        <w:t>ALM data connection and extraction: 2–3 days (automated API integration)</w:t>
      </w:r>
    </w:p>
    <w:p>
      <w:pPr>
        <w:pStyle w:val="ListBullet"/>
        <w:spacing w:after="40"/>
        <w:ind w:left="432"/>
      </w:pPr>
      <w:r>
        <w:rPr>
          <w:rFonts w:ascii="Calibri" w:hAnsi="Calibri"/>
          <w:b w:val="0"/>
          <w:i w:val="0"/>
          <w:sz w:val="21"/>
        </w:rPr>
        <w:t>Current state VSM generation: same day (AI agents, not manual analysis)</w:t>
      </w:r>
    </w:p>
    <w:p>
      <w:pPr>
        <w:pStyle w:val="ListBullet"/>
        <w:spacing w:after="40"/>
        <w:ind w:left="432"/>
      </w:pPr>
      <w:r>
        <w:rPr>
          <w:rFonts w:ascii="Calibri" w:hAnsi="Calibri"/>
          <w:b w:val="0"/>
          <w:i w:val="0"/>
          <w:sz w:val="21"/>
        </w:rPr>
        <w:t>Bottleneck identification and quantification: 1–2 days</w:t>
      </w:r>
    </w:p>
    <w:p>
      <w:pPr>
        <w:pStyle w:val="ListBullet"/>
        <w:spacing w:after="40"/>
        <w:ind w:left="432"/>
      </w:pPr>
      <w:r>
        <w:rPr>
          <w:rFonts w:ascii="Calibri" w:hAnsi="Calibri"/>
          <w:b w:val="0"/>
          <w:i w:val="0"/>
          <w:sz w:val="21"/>
        </w:rPr>
        <w:t>Option design and business case: 1 week</w:t>
      </w:r>
    </w:p>
    <w:p>
      <w:pPr>
        <w:pStyle w:val="ListBullet"/>
        <w:spacing w:after="40"/>
        <w:ind w:left="432"/>
      </w:pPr>
      <w:r>
        <w:rPr>
          <w:rFonts w:ascii="Calibri" w:hAnsi="Calibri"/>
          <w:b w:val="0"/>
          <w:i w:val="0"/>
          <w:sz w:val="21"/>
        </w:rPr>
        <w:t>Total: 2–3 weeks of elapsed time</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The platform does not replace consulting judgement — it eliminates the data wrangling that historically consumed 80% of a transformation analyst's time. Our consultants spend their time on strategy, change management, and client relationships. The platform handles the analysis.</w:t>
            </w:r>
          </w:p>
        </w:tc>
      </w:tr>
    </w:tbl>
    <w:p/>
    <w:p>
      <w:pPr>
        <w:spacing w:before="60" w:after="60"/>
        <w:pBdr>
          <w:bottom w:val="single" w:sz="6" w:space="1" w:color="2563EB"/>
        </w:pBdr>
      </w:pPr>
    </w:p>
    <w:p>
      <w:pPr>
        <w:spacing w:before="400" w:after="120"/>
      </w:pPr>
      <w:r>
        <w:rPr>
          <w:rFonts w:ascii="Calibri" w:hAnsi="Calibri"/>
          <w:b/>
          <w:i w:val="0"/>
          <w:color w:val="0F2D5E"/>
          <w:sz w:val="32"/>
        </w:rPr>
        <w:t>Conclusion and Call to Action</w:t>
      </w:r>
    </w:p>
    <w:p>
      <w:pPr>
        <w:spacing w:after="80"/>
      </w:pPr>
      <w:r>
        <w:rPr>
          <w:rFonts w:ascii="Calibri" w:hAnsi="Calibri"/>
          <w:b w:val="0"/>
          <w:i w:val="0"/>
          <w:sz w:val="21"/>
        </w:rPr>
        <w:t>The AI-Powered PDLC Transformation offering is built on a simple thesis: organisations that understand their delivery system precisely — and make transformation decisions based on evidence rather than opinion — achieve materially better outcomes. The data across 40+ engagements supports this thesis consistently.</w:t>
      </w:r>
    </w:p>
    <w:p>
      <w:pPr>
        <w:spacing w:after="80"/>
      </w:pPr>
      <w:r>
        <w:rPr>
          <w:rFonts w:ascii="Calibri" w:hAnsi="Calibri"/>
          <w:b w:val="0"/>
          <w:i w:val="0"/>
          <w:sz w:val="21"/>
        </w:rPr>
        <w:t>The path from where you are to AI-native software delivery runs through three phases: Diagnose, Design, and Deliver. It begins with a fixed-fee, time-bounded engagement that produces the evidence base for every decision that follows. It is the lowest-risk, highest-clarity way to start a transformation programme.</w:t>
      </w:r>
    </w:p>
    <w:p>
      <w:pPr>
        <w:spacing w:after="80"/>
      </w:pPr>
      <w:r>
        <w:rPr>
          <w:rFonts w:ascii="Calibri" w:hAnsi="Calibri"/>
          <w:b w:val="0"/>
          <w:i w:val="0"/>
          <w:sz w:val="21"/>
        </w:rPr>
        <w:t>The question is not whether to transform your PDLC. Your competitors are already doing it. The question is whether to begin with evidence or intuition.</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The next step is Phase 1: Diagnose. In 8 weeks, for a fixed investment of $150,000, we will map your current state, quantify your bottleneck cost, and present you with three transformation options — each with a detailed business case ready for your board. Contact us to scope your engagement.</w:t>
            </w:r>
          </w:p>
        </w:tc>
      </w:tr>
    </w:tbl>
    <w:p/>
    <w:p>
      <w:pPr>
        <w:spacing w:before="400" w:after="120"/>
      </w:pPr>
      <w:r>
        <w:rPr>
          <w:rFonts w:ascii="Calibri" w:hAnsi="Calibri"/>
          <w:b/>
          <w:i w:val="0"/>
          <w:color w:val="0F2D5E"/>
          <w:sz w:val="32"/>
        </w:rPr>
        <w:t>From Three Options to a Maturity Ladder + Target State</w:t>
      </w:r>
    </w:p>
    <w:p>
      <w:pPr>
        <w:spacing w:after="80"/>
      </w:pPr>
      <w:r>
        <w:rPr>
          <w:rFonts w:ascii="Calibri" w:hAnsi="Calibri"/>
          <w:b w:val="0"/>
          <w:i w:val="0"/>
          <w:sz w:val="21"/>
        </w:rPr>
        <w:t>The three options remain the simplest way to frame the choice, but in practice they are points on a continuous L1–L5 maturity ladder — from assisted prompting to a fully autonomous Agentic Development Lifecycle (ADLC). Option A maps to L2 (agent co-pilots), Option B to L3–L4 (supervised independent → orchestrated agents), and Option C to L5 (autonomous ADLC, the North Star).</w:t>
      </w:r>
    </w:p>
    <w:p>
      <w:pPr>
        <w:pStyle w:val="ListBullet"/>
        <w:spacing w:after="40"/>
        <w:ind w:left="432"/>
      </w:pPr>
      <w:r>
        <w:rPr>
          <w:rFonts w:ascii="Calibri" w:hAnsi="Calibri"/>
          <w:b/>
          <w:i w:val="0"/>
          <w:sz w:val="21"/>
        </w:rPr>
        <w:t xml:space="preserve">L1: </w:t>
      </w:r>
      <w:r>
        <w:rPr>
          <w:rFonts w:ascii="Calibri" w:hAnsi="Calibri"/>
          <w:b w:val="0"/>
          <w:i w:val="0"/>
          <w:sz w:val="21"/>
        </w:rPr>
        <w:t>Assisted Prompting (ML1 · Foundation) — AI via simple prompting in a few phases (mainly Dev &amp; Test). Humans do the work; AI suggests.</w:t>
      </w:r>
    </w:p>
    <w:p>
      <w:pPr>
        <w:pStyle w:val="ListBullet"/>
        <w:spacing w:after="40"/>
        <w:ind w:left="432"/>
      </w:pPr>
      <w:r>
        <w:rPr>
          <w:rFonts w:ascii="Calibri" w:hAnsi="Calibri"/>
          <w:b/>
          <w:i w:val="0"/>
          <w:sz w:val="21"/>
        </w:rPr>
        <w:t xml:space="preserve">L2: </w:t>
      </w:r>
      <w:r>
        <w:rPr>
          <w:rFonts w:ascii="Calibri" w:hAnsi="Calibri"/>
          <w:b w:val="0"/>
          <w:i w:val="0"/>
          <w:sz w:val="21"/>
        </w:rPr>
        <w:t>Agent Co-pilots (assistive) (ML2 · Augmentation) — Assistive/companion agents across most phases; every output human-reviewed. Agents draft, humans approve.</w:t>
      </w:r>
    </w:p>
    <w:p>
      <w:pPr>
        <w:pStyle w:val="ListBullet"/>
        <w:spacing w:after="40"/>
        <w:ind w:left="432"/>
      </w:pPr>
      <w:r>
        <w:rPr>
          <w:rFonts w:ascii="Calibri" w:hAnsi="Calibri"/>
          <w:b/>
          <w:i w:val="0"/>
          <w:sz w:val="21"/>
        </w:rPr>
        <w:t xml:space="preserve">L3: </w:t>
      </w:r>
      <w:r>
        <w:rPr>
          <w:rFonts w:ascii="Calibri" w:hAnsi="Calibri"/>
          <w:b w:val="0"/>
          <w:i w:val="0"/>
          <w:sz w:val="21"/>
        </w:rPr>
        <w:t>Supervised Independent Agents (ML3 · Automation) — Agents act independently on standard cases and interact; humans review exceptions and quality gates.</w:t>
      </w:r>
    </w:p>
    <w:p>
      <w:pPr>
        <w:pStyle w:val="ListBullet"/>
        <w:spacing w:after="40"/>
        <w:ind w:left="432"/>
      </w:pPr>
      <w:r>
        <w:rPr>
          <w:rFonts w:ascii="Calibri" w:hAnsi="Calibri"/>
          <w:b/>
          <w:i w:val="0"/>
          <w:sz w:val="21"/>
        </w:rPr>
        <w:t xml:space="preserve">L4: </w:t>
      </w:r>
      <w:r>
        <w:rPr>
          <w:rFonts w:ascii="Calibri" w:hAnsi="Calibri"/>
          <w:b w:val="0"/>
          <w:i w:val="0"/>
          <w:sz w:val="21"/>
        </w:rPr>
        <w:t>Orchestrated Agents (oversight) (ML4 · Transformation) — Most phases agent-run with multi-agent orchestration end-to-end; humans govern and handle escalations.</w:t>
      </w:r>
    </w:p>
    <w:p>
      <w:pPr>
        <w:pStyle w:val="ListBullet"/>
        <w:spacing w:after="40"/>
        <w:ind w:left="432"/>
      </w:pPr>
      <w:r>
        <w:rPr>
          <w:rFonts w:ascii="Calibri" w:hAnsi="Calibri"/>
          <w:b/>
          <w:i w:val="0"/>
          <w:sz w:val="21"/>
        </w:rPr>
        <w:t xml:space="preserve">L5: </w:t>
      </w:r>
      <w:r>
        <w:rPr>
          <w:rFonts w:ascii="Calibri" w:hAnsi="Calibri"/>
          <w:b w:val="0"/>
          <w:i w:val="0"/>
          <w:sz w:val="21"/>
        </w:rPr>
        <w:t>Autonomous ADLC (North Star) (ML5 · Reinvention) — Fully orchestrated agents across the SDLC/PDLC. Only humans: Product Definer, Product Builder, Architect (incl. risk).</w:t>
      </w:r>
    </w:p>
    <w:p>
      <w:pPr>
        <w:spacing w:after="80"/>
      </w:pPr>
      <w:r>
        <w:rPr>
          <w:rFonts w:ascii="Calibri" w:hAnsi="Calibri"/>
          <w:b w:val="0"/>
          <w:i w:val="0"/>
          <w:sz w:val="21"/>
        </w:rPr>
        <w:t>Rather than picking a single option in the abstract, organisations now define a Target State (North-Star level) and a delivery platform, then receive an auto-generated interim roadmap — go in one move, or via one or two interim steps sized to current maturity and risk appetite.</w:t>
      </w:r>
    </w:p>
    <w:p>
      <w:pPr>
        <w:spacing w:before="240" w:after="80"/>
      </w:pPr>
      <w:r>
        <w:rPr>
          <w:rFonts w:ascii="Calibri" w:hAnsi="Calibri"/>
          <w:b/>
          <w:i w:val="0"/>
          <w:color w:val="2563EB"/>
          <w:sz w:val="26"/>
        </w:rPr>
        <w:t>Choosing the delivery platform</w:t>
      </w:r>
    </w:p>
    <w:p>
      <w:pPr>
        <w:spacing w:after="80"/>
      </w:pPr>
      <w:r>
        <w:rPr>
          <w:rFonts w:ascii="Calibri" w:hAnsi="Calibri"/>
          <w:b w:val="0"/>
          <w:i w:val="0"/>
          <w:sz w:val="21"/>
        </w:rPr>
        <w:t>The target ADLC can be delivered on different platforms. Home-grown gives maximum control and best economics at scale; COTS (e.g. GitHub Copilot Workspace, Devin, Cursor, the open BMAD method) is fastest to adopt; a service-provider platform such as Cognizant Flowsource offers pre-integrated, managed delivery. Each carries a different ongoing cost profile — including agent/token spend.</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F2D5E"/>
          </w:tcPr>
          <w:p>
            <w:r>
              <w:rPr>
                <w:rFonts w:ascii="Calibri" w:hAnsi="Calibri"/>
                <w:b/>
                <w:i w:val="0"/>
                <w:color w:val="FFFFFF"/>
                <w:sz w:val="19"/>
              </w:rPr>
              <w:t>Platform</w:t>
            </w:r>
          </w:p>
        </w:tc>
        <w:tc>
          <w:tcPr>
            <w:tcW w:type="dxa" w:w="2340"/>
            <w:shd w:val="clear" w:color="auto" w:fill="0F2D5E"/>
          </w:tcPr>
          <w:p>
            <w:r>
              <w:rPr>
                <w:rFonts w:ascii="Calibri" w:hAnsi="Calibri"/>
                <w:b/>
                <w:i w:val="0"/>
                <w:color w:val="FFFFFF"/>
                <w:sz w:val="19"/>
              </w:rPr>
              <w:t>Kind</w:t>
            </w:r>
          </w:p>
        </w:tc>
        <w:tc>
          <w:tcPr>
            <w:tcW w:type="dxa" w:w="2340"/>
            <w:shd w:val="clear" w:color="auto" w:fill="0F2D5E"/>
          </w:tcPr>
          <w:p>
            <w:r>
              <w:rPr>
                <w:rFonts w:ascii="Calibri" w:hAnsi="Calibri"/>
                <w:b/>
                <w:i w:val="0"/>
                <w:color w:val="FFFFFF"/>
                <w:sz w:val="19"/>
              </w:rPr>
              <w:t>Best for</w:t>
            </w:r>
          </w:p>
        </w:tc>
        <w:tc>
          <w:tcPr>
            <w:tcW w:type="dxa" w:w="2340"/>
            <w:shd w:val="clear" w:color="auto" w:fill="0F2D5E"/>
          </w:tcPr>
          <w:p>
            <w:r>
              <w:rPr>
                <w:rFonts w:ascii="Calibri" w:hAnsi="Calibri"/>
                <w:b/>
                <w:i w:val="0"/>
                <w:color w:val="FFFFFF"/>
                <w:sz w:val="19"/>
              </w:rPr>
              <w:t>Ongoing cost</w:t>
            </w:r>
          </w:p>
        </w:tc>
      </w:tr>
      <w:tr>
        <w:tc>
          <w:tcPr>
            <w:tcW w:type="dxa" w:w="2340"/>
            <w:shd w:val="clear" w:color="auto" w:fill="F3F4F6"/>
          </w:tcPr>
          <w:p>
            <w:r>
              <w:rPr>
                <w:rFonts w:ascii="Calibri" w:hAnsi="Calibri"/>
                <w:b w:val="0"/>
                <w:i w:val="0"/>
                <w:sz w:val="19"/>
              </w:rPr>
              <w:t>Home-grown / Custom Build</w:t>
            </w:r>
          </w:p>
        </w:tc>
        <w:tc>
          <w:tcPr>
            <w:tcW w:type="dxa" w:w="2340"/>
            <w:shd w:val="clear" w:color="auto" w:fill="F3F4F6"/>
          </w:tcPr>
          <w:p>
            <w:r>
              <w:rPr>
                <w:rFonts w:ascii="Calibri" w:hAnsi="Calibri"/>
                <w:b w:val="0"/>
                <w:i w:val="0"/>
                <w:sz w:val="19"/>
              </w:rPr>
              <w:t>Home-grown</w:t>
            </w:r>
          </w:p>
        </w:tc>
        <w:tc>
          <w:tcPr>
            <w:tcW w:type="dxa" w:w="2340"/>
            <w:shd w:val="clear" w:color="auto" w:fill="F3F4F6"/>
          </w:tcPr>
          <w:p>
            <w:r>
              <w:rPr>
                <w:rFonts w:ascii="Calibri" w:hAnsi="Calibri"/>
                <w:b w:val="0"/>
                <w:i w:val="0"/>
                <w:sz w:val="19"/>
              </w:rPr>
              <w:t>Max control &amp; best unit economics at scale; no lock-in</w:t>
            </w:r>
          </w:p>
        </w:tc>
        <w:tc>
          <w:tcPr>
            <w:tcW w:type="dxa" w:w="2340"/>
            <w:shd w:val="clear" w:color="auto" w:fill="F3F4F6"/>
          </w:tcPr>
          <w:p>
            <w:r>
              <w:rPr>
                <w:rFonts w:ascii="Calibri" w:hAnsi="Calibri"/>
                <w:b w:val="0"/>
                <w:i w:val="0"/>
                <w:sz w:val="19"/>
              </w:rPr>
              <w:t>No licence; high agent/token spend + platform-engineering team (shared across pods)</w:t>
            </w:r>
          </w:p>
        </w:tc>
      </w:tr>
      <w:tr>
        <w:tc>
          <w:tcPr>
            <w:tcW w:type="dxa" w:w="2340"/>
            <w:shd w:val="clear" w:color="auto" w:fill="FFFFFF"/>
          </w:tcPr>
          <w:p>
            <w:r>
              <w:rPr>
                <w:rFonts w:ascii="Calibri" w:hAnsi="Calibri"/>
                <w:b w:val="0"/>
                <w:i w:val="0"/>
                <w:sz w:val="19"/>
              </w:rPr>
              <w:t>BMAD Method</w:t>
            </w:r>
          </w:p>
        </w:tc>
        <w:tc>
          <w:tcPr>
            <w:tcW w:type="dxa" w:w="2340"/>
            <w:shd w:val="clear" w:color="auto" w:fill="FFFFFF"/>
          </w:tcPr>
          <w:p>
            <w:r>
              <w:rPr>
                <w:rFonts w:ascii="Calibri" w:hAnsi="Calibri"/>
                <w:b w:val="0"/>
                <w:i w:val="0"/>
                <w:sz w:val="19"/>
              </w:rPr>
              <w:t>COTS</w:t>
            </w:r>
          </w:p>
        </w:tc>
        <w:tc>
          <w:tcPr>
            <w:tcW w:type="dxa" w:w="2340"/>
            <w:shd w:val="clear" w:color="auto" w:fill="FFFFFF"/>
          </w:tcPr>
          <w:p>
            <w:r>
              <w:rPr>
                <w:rFonts w:ascii="Calibri" w:hAnsi="Calibri"/>
                <w:b w:val="0"/>
                <w:i w:val="0"/>
                <w:sz w:val="19"/>
              </w:rPr>
              <w:t>No licence; LLM-agnostic; pre-curated agent patterns</w:t>
            </w:r>
          </w:p>
        </w:tc>
        <w:tc>
          <w:tcPr>
            <w:tcW w:type="dxa" w:w="2340"/>
            <w:shd w:val="clear" w:color="auto" w:fill="FFFFFF"/>
          </w:tcPr>
          <w:p>
            <w:r>
              <w:rPr>
                <w:rFonts w:ascii="Calibri" w:hAnsi="Calibri"/>
                <w:b w:val="0"/>
                <w:i w:val="0"/>
                <w:sz w:val="19"/>
              </w:rPr>
              <w:t>No licence; token spend + small ops pod</w:t>
            </w:r>
          </w:p>
        </w:tc>
      </w:tr>
      <w:tr>
        <w:tc>
          <w:tcPr>
            <w:tcW w:type="dxa" w:w="2340"/>
            <w:shd w:val="clear" w:color="auto" w:fill="F3F4F6"/>
          </w:tcPr>
          <w:p>
            <w:r>
              <w:rPr>
                <w:rFonts w:ascii="Calibri" w:hAnsi="Calibri"/>
                <w:b w:val="0"/>
                <w:i w:val="0"/>
                <w:sz w:val="19"/>
              </w:rPr>
              <w:t>GitHub Copilot Workspace</w:t>
            </w:r>
          </w:p>
        </w:tc>
        <w:tc>
          <w:tcPr>
            <w:tcW w:type="dxa" w:w="2340"/>
            <w:shd w:val="clear" w:color="auto" w:fill="F3F4F6"/>
          </w:tcPr>
          <w:p>
            <w:r>
              <w:rPr>
                <w:rFonts w:ascii="Calibri" w:hAnsi="Calibri"/>
                <w:b w:val="0"/>
                <w:i w:val="0"/>
                <w:sz w:val="19"/>
              </w:rPr>
              <w:t>COTS</w:t>
            </w:r>
          </w:p>
        </w:tc>
        <w:tc>
          <w:tcPr>
            <w:tcW w:type="dxa" w:w="2340"/>
            <w:shd w:val="clear" w:color="auto" w:fill="F3F4F6"/>
          </w:tcPr>
          <w:p>
            <w:r>
              <w:rPr>
                <w:rFonts w:ascii="Calibri" w:hAnsi="Calibri"/>
                <w:b w:val="0"/>
                <w:i w:val="0"/>
                <w:sz w:val="19"/>
              </w:rPr>
              <w:t>Lowest internal capability needed; frontier models bundled</w:t>
            </w:r>
          </w:p>
        </w:tc>
        <w:tc>
          <w:tcPr>
            <w:tcW w:type="dxa" w:w="2340"/>
            <w:shd w:val="clear" w:color="auto" w:fill="F3F4F6"/>
          </w:tcPr>
          <w:p>
            <w:r>
              <w:rPr>
                <w:rFonts w:ascii="Calibri" w:hAnsi="Calibri"/>
                <w:b w:val="0"/>
                <w:i w:val="0"/>
                <w:sz w:val="19"/>
              </w:rPr>
              <w:t>Per-seat licence + token spend</w:t>
            </w:r>
          </w:p>
        </w:tc>
      </w:tr>
      <w:tr>
        <w:tc>
          <w:tcPr>
            <w:tcW w:type="dxa" w:w="2340"/>
            <w:shd w:val="clear" w:color="auto" w:fill="FFFFFF"/>
          </w:tcPr>
          <w:p>
            <w:r>
              <w:rPr>
                <w:rFonts w:ascii="Calibri" w:hAnsi="Calibri"/>
                <w:b w:val="0"/>
                <w:i w:val="0"/>
                <w:sz w:val="19"/>
              </w:rPr>
              <w:t>Devin (Cognition)</w:t>
            </w:r>
          </w:p>
        </w:tc>
        <w:tc>
          <w:tcPr>
            <w:tcW w:type="dxa" w:w="2340"/>
            <w:shd w:val="clear" w:color="auto" w:fill="FFFFFF"/>
          </w:tcPr>
          <w:p>
            <w:r>
              <w:rPr>
                <w:rFonts w:ascii="Calibri" w:hAnsi="Calibri"/>
                <w:b w:val="0"/>
                <w:i w:val="0"/>
                <w:sz w:val="19"/>
              </w:rPr>
              <w:t>COTS</w:t>
            </w:r>
          </w:p>
        </w:tc>
        <w:tc>
          <w:tcPr>
            <w:tcW w:type="dxa" w:w="2340"/>
            <w:shd w:val="clear" w:color="auto" w:fill="FFFFFF"/>
          </w:tcPr>
          <w:p>
            <w:r>
              <w:rPr>
                <w:rFonts w:ascii="Calibri" w:hAnsi="Calibri"/>
                <w:b w:val="0"/>
                <w:i w:val="0"/>
                <w:sz w:val="19"/>
              </w:rPr>
              <w:t>Fastest dev-phase autonomy; parallel sessions scale throughput</w:t>
            </w:r>
          </w:p>
        </w:tc>
        <w:tc>
          <w:tcPr>
            <w:tcW w:type="dxa" w:w="2340"/>
            <w:shd w:val="clear" w:color="auto" w:fill="FFFFFF"/>
          </w:tcPr>
          <w:p>
            <w:r>
              <w:rPr>
                <w:rFonts w:ascii="Calibri" w:hAnsi="Calibri"/>
                <w:b w:val="0"/>
                <w:i w:val="0"/>
                <w:sz w:val="19"/>
              </w:rPr>
              <w:t>Per-seat/session licence + token spend + small ops pod</w:t>
            </w:r>
          </w:p>
        </w:tc>
      </w:tr>
      <w:tr>
        <w:tc>
          <w:tcPr>
            <w:tcW w:type="dxa" w:w="2340"/>
            <w:shd w:val="clear" w:color="auto" w:fill="F3F4F6"/>
          </w:tcPr>
          <w:p>
            <w:r>
              <w:rPr>
                <w:rFonts w:ascii="Calibri" w:hAnsi="Calibri"/>
                <w:b w:val="0"/>
                <w:i w:val="0"/>
                <w:sz w:val="19"/>
              </w:rPr>
              <w:t>Cursor (Anysphere)</w:t>
            </w:r>
          </w:p>
        </w:tc>
        <w:tc>
          <w:tcPr>
            <w:tcW w:type="dxa" w:w="2340"/>
            <w:shd w:val="clear" w:color="auto" w:fill="F3F4F6"/>
          </w:tcPr>
          <w:p>
            <w:r>
              <w:rPr>
                <w:rFonts w:ascii="Calibri" w:hAnsi="Calibri"/>
                <w:b w:val="0"/>
                <w:i w:val="0"/>
                <w:sz w:val="19"/>
              </w:rPr>
              <w:t>COTS</w:t>
            </w:r>
          </w:p>
        </w:tc>
        <w:tc>
          <w:tcPr>
            <w:tcW w:type="dxa" w:w="2340"/>
            <w:shd w:val="clear" w:color="auto" w:fill="F3F4F6"/>
          </w:tcPr>
          <w:p>
            <w:r>
              <w:rPr>
                <w:rFonts w:ascii="Calibri" w:hAnsi="Calibri"/>
                <w:b w:val="0"/>
                <w:i w:val="0"/>
                <w:sz w:val="19"/>
              </w:rPr>
              <w:t>Highest dev adoption; strong multi-file edits; low switching cost</w:t>
            </w:r>
          </w:p>
        </w:tc>
        <w:tc>
          <w:tcPr>
            <w:tcW w:type="dxa" w:w="2340"/>
            <w:shd w:val="clear" w:color="auto" w:fill="F3F4F6"/>
          </w:tcPr>
          <w:p>
            <w:r>
              <w:rPr>
                <w:rFonts w:ascii="Calibri" w:hAnsi="Calibri"/>
                <w:b w:val="0"/>
                <w:i w:val="0"/>
                <w:sz w:val="19"/>
              </w:rPr>
              <w:t>Per-seat licence + token spend</w:t>
            </w:r>
          </w:p>
        </w:tc>
      </w:tr>
      <w:tr>
        <w:tc>
          <w:tcPr>
            <w:tcW w:type="dxa" w:w="2340"/>
            <w:shd w:val="clear" w:color="auto" w:fill="FFFFFF"/>
          </w:tcPr>
          <w:p>
            <w:r>
              <w:rPr>
                <w:rFonts w:ascii="Calibri" w:hAnsi="Calibri"/>
                <w:b w:val="0"/>
                <w:i w:val="0"/>
                <w:sz w:val="19"/>
              </w:rPr>
              <w:t>Cognizant Flowsource</w:t>
            </w:r>
          </w:p>
        </w:tc>
        <w:tc>
          <w:tcPr>
            <w:tcW w:type="dxa" w:w="2340"/>
            <w:shd w:val="clear" w:color="auto" w:fill="FFFFFF"/>
          </w:tcPr>
          <w:p>
            <w:r>
              <w:rPr>
                <w:rFonts w:ascii="Calibri" w:hAnsi="Calibri"/>
                <w:b w:val="0"/>
                <w:i w:val="0"/>
                <w:sz w:val="19"/>
              </w:rPr>
              <w:t>Service provider</w:t>
            </w:r>
          </w:p>
        </w:tc>
        <w:tc>
          <w:tcPr>
            <w:tcW w:type="dxa" w:w="2340"/>
            <w:shd w:val="clear" w:color="auto" w:fill="FFFFFF"/>
          </w:tcPr>
          <w:p>
            <w:r>
              <w:rPr>
                <w:rFonts w:ascii="Calibri" w:hAnsi="Calibri"/>
                <w:b w:val="0"/>
                <w:i w:val="0"/>
                <w:sz w:val="19"/>
              </w:rPr>
              <w:t>Fastest broad coverage; managed delivery; built-in governance</w:t>
            </w:r>
          </w:p>
        </w:tc>
        <w:tc>
          <w:tcPr>
            <w:tcW w:type="dxa" w:w="2340"/>
            <w:shd w:val="clear" w:color="auto" w:fill="FFFFFF"/>
          </w:tcPr>
          <w:p>
            <w:r>
              <w:rPr>
                <w:rFonts w:ascii="Calibri" w:hAnsi="Calibri"/>
                <w:b w:val="0"/>
                <w:i w:val="0"/>
                <w:sz w:val="19"/>
              </w:rPr>
              <w:t>Managed platform + services fee + token spend (smaller in-house team)</w:t>
            </w:r>
          </w:p>
        </w:tc>
      </w:tr>
    </w:tbl>
    <w:p/>
    <w:p>
      <w:pPr>
        <w:spacing w:before="240" w:after="80"/>
      </w:pPr>
      <w:r>
        <w:rPr>
          <w:rFonts w:ascii="Calibri" w:hAnsi="Calibri"/>
          <w:b/>
          <w:i w:val="0"/>
          <w:color w:val="2563EB"/>
          <w:sz w:val="26"/>
        </w:rPr>
        <w:t>The business case: a DORA J-Curve, not a flat multiple</w:t>
      </w:r>
    </w:p>
    <w:p>
      <w:pPr>
        <w:spacing w:after="80"/>
      </w:pPr>
      <w:r>
        <w:rPr>
          <w:rFonts w:ascii="Calibri" w:hAnsi="Calibri"/>
          <w:b w:val="0"/>
          <w:i w:val="0"/>
          <w:sz w:val="21"/>
        </w:rPr>
        <w:t>Following DORA's 2026 ROI of AI-assisted software development research, we model value as a J-Curve: an up-front investment and an initial productivity dip (the learning curve and verification tax of reviewing AI output), followed by net savings that grow sprint-on-sprint and cross a breakeven point. We deliberately exclude business-growth/feature-revenue, counting only engineering cost-efficiency and reinvested capacity.</w:t>
      </w:r>
    </w:p>
    <w:p>
      <w:pPr>
        <w:pStyle w:val="ListBullet"/>
        <w:spacing w:after="40"/>
        <w:ind w:left="432"/>
      </w:pPr>
      <w:r>
        <w:rPr>
          <w:rFonts w:ascii="Calibri" w:hAnsi="Calibri"/>
          <w:b/>
          <w:i w:val="0"/>
          <w:sz w:val="21"/>
        </w:rPr>
        <w:t xml:space="preserve">Investment: </w:t>
      </w:r>
      <w:r>
        <w:rPr>
          <w:rFonts w:ascii="Calibri" w:hAnsi="Calibri"/>
          <w:b w:val="0"/>
          <w:i w:val="0"/>
          <w:sz w:val="21"/>
        </w:rPr>
        <w:t>Hard costs up front: licences + agent/token usage + enablement/training + AI infrastructure.</w:t>
      </w:r>
    </w:p>
    <w:p>
      <w:pPr>
        <w:pStyle w:val="ListBullet"/>
        <w:spacing w:after="40"/>
        <w:ind w:left="432"/>
      </w:pPr>
      <w:r>
        <w:rPr>
          <w:rFonts w:ascii="Calibri" w:hAnsi="Calibri"/>
          <w:b/>
          <w:i w:val="0"/>
          <w:sz w:val="21"/>
        </w:rPr>
        <w:t xml:space="preserve">J-Curve dip (tuition cost): </w:t>
      </w:r>
      <w:r>
        <w:rPr>
          <w:rFonts w:ascii="Calibri" w:hAnsi="Calibri"/>
          <w:b w:val="0"/>
          <w:i w:val="0"/>
          <w:sz w:val="21"/>
        </w:rPr>
        <w:t>Early sprints carry a productivity dip — the learning curve + verification tax (reviewing AI output) — so net savings start negative.</w:t>
      </w:r>
    </w:p>
    <w:p>
      <w:pPr>
        <w:pStyle w:val="ListBullet"/>
        <w:spacing w:after="40"/>
        <w:ind w:left="432"/>
      </w:pPr>
      <w:r>
        <w:rPr>
          <w:rFonts w:ascii="Calibri" w:hAnsi="Calibri"/>
          <w:b/>
          <w:i w:val="0"/>
          <w:sz w:val="21"/>
        </w:rPr>
        <w:t xml:space="preserve">Breakeven: </w:t>
      </w:r>
      <w:r>
        <w:rPr>
          <w:rFonts w:ascii="Calibri" w:hAnsi="Calibri"/>
          <w:b w:val="0"/>
          <w:i w:val="0"/>
          <w:sz w:val="21"/>
        </w:rPr>
        <w:t>As adoption ramps and the dip fades, net savings turn positive and cumulative benefit crosses zero.</w:t>
      </w:r>
    </w:p>
    <w:p>
      <w:pPr>
        <w:pStyle w:val="ListBullet"/>
        <w:spacing w:after="40"/>
        <w:ind w:left="432"/>
      </w:pPr>
      <w:r>
        <w:rPr>
          <w:rFonts w:ascii="Calibri" w:hAnsi="Calibri"/>
          <w:b/>
          <w:i w:val="0"/>
          <w:sz w:val="21"/>
        </w:rPr>
        <w:t xml:space="preserve">Compounding savings: </w:t>
      </w:r>
      <w:r>
        <w:rPr>
          <w:rFonts w:ascii="Calibri" w:hAnsi="Calibri"/>
          <w:b w:val="0"/>
          <w:i w:val="0"/>
          <w:sz w:val="21"/>
        </w:rPr>
        <w:t>Net savings grow sprint-on-sprint; freed capacity is reinvested (cost avoided), not headcount cut.</w:t>
      </w:r>
    </w:p>
    <w:tbl>
      <w:tblPr>
        <w:tblStyle w:val="TableGrid"/>
        <w:tblW w:type="auto" w:w="0"/>
        <w:tblLook w:firstColumn="1" w:firstRow="1" w:lastColumn="0" w:lastRow="0" w:noHBand="0" w:noVBand="1" w:val="04A0"/>
      </w:tblPr>
      <w:tblGrid>
        <w:gridCol w:w="9360"/>
      </w:tblGrid>
      <w:tr>
        <w:tc>
          <w:tcPr>
            <w:tcW w:type="dxa" w:w="9360"/>
            <w:shd w:val="clear" w:color="auto" w:fill="DBEAFE"/>
          </w:tcPr>
          <w:p>
            <w:r>
              <w:rPr>
                <w:rFonts w:ascii="Calibri" w:hAnsi="Calibri"/>
                <w:b w:val="0"/>
                <w:i/>
                <w:color w:val="0F2D5E"/>
                <w:sz w:val="21"/>
              </w:rPr>
              <w:t>ROI % = (Value − Investment) ÷ Investment   —   Value = cost-avoidance (freed capacity), NOT new-feature revenue  Business growth from new features is intentionally excluded — value is engineering cost-efficiency and capacity reinvestment only.</w:t>
            </w:r>
          </w:p>
        </w:tc>
      </w:tr>
    </w:tbl>
    <w:p/>
    <w:p>
      <w:pPr>
        <w:spacing w:before="240" w:after="80"/>
      </w:pPr>
      <w:r>
        <w:rPr>
          <w:rFonts w:ascii="Calibri" w:hAnsi="Calibri"/>
          <w:b/>
          <w:i w:val="0"/>
          <w:color w:val="2563EB"/>
          <w:sz w:val="26"/>
        </w:rPr>
        <w:t>Measuring it: the three-perspective Outcome Dashboard</w:t>
      </w:r>
    </w:p>
    <w:p>
      <w:pPr>
        <w:spacing w:after="80"/>
      </w:pPr>
      <w:r>
        <w:rPr>
          <w:rFonts w:ascii="Calibri" w:hAnsi="Calibri"/>
          <w:b w:val="0"/>
          <w:i w:val="0"/>
          <w:sz w:val="21"/>
        </w:rPr>
        <w:t>Progress is tracked continuously across three perspectives — AI Adoption, PDLC Performance (outcomes), and AI Ops &amp; Assurance — computed from live data with per-chart inferences and action points.</w:t>
      </w:r>
    </w:p>
    <w:p>
      <w:pPr>
        <w:pStyle w:val="ListBullet"/>
        <w:spacing w:after="40"/>
        <w:ind w:left="432"/>
      </w:pPr>
      <w:r>
        <w:rPr>
          <w:rFonts w:ascii="Calibri" w:hAnsi="Calibri"/>
          <w:b/>
          <w:i w:val="0"/>
          <w:sz w:val="21"/>
        </w:rPr>
        <w:t xml:space="preserve">AI Adoption: </w:t>
      </w:r>
      <w:r>
        <w:rPr>
          <w:rFonts w:ascii="Calibri" w:hAnsi="Calibri"/>
          <w:b w:val="0"/>
          <w:i w:val="0"/>
          <w:sz w:val="21"/>
        </w:rPr>
        <w:t>How deeply agents/tools are adopted across the PDLC.  Metrics: Agent Utilisation Rate, AI Acceptance Rate, Human Override Rate, Time Saved / Agent / Sprint, Agent ROI Multiple.</w:t>
      </w:r>
    </w:p>
    <w:p>
      <w:pPr>
        <w:pStyle w:val="ListBullet"/>
        <w:spacing w:after="40"/>
        <w:ind w:left="432"/>
      </w:pPr>
      <w:r>
        <w:rPr>
          <w:rFonts w:ascii="Calibri" w:hAnsi="Calibri"/>
          <w:b/>
          <w:i w:val="0"/>
          <w:sz w:val="21"/>
        </w:rPr>
        <w:t xml:space="preserve">PDLC Performance (Outcomes): </w:t>
      </w:r>
      <w:r>
        <w:rPr>
          <w:rFonts w:ascii="Calibri" w:hAnsi="Calibri"/>
          <w:b w:val="0"/>
          <w:i w:val="0"/>
          <w:sz w:val="21"/>
        </w:rPr>
        <w:t>Delivery outcomes — flow, speed, stability &amp; productivity.  Metrics: Lead Time, Cycle Time, Flow Efficiency, Deployment Frequency, Change Failure Rate.</w:t>
      </w:r>
    </w:p>
    <w:p>
      <w:pPr>
        <w:pStyle w:val="ListBullet"/>
        <w:spacing w:after="40"/>
        <w:ind w:left="432"/>
      </w:pPr>
      <w:r>
        <w:rPr>
          <w:rFonts w:ascii="Calibri" w:hAnsi="Calibri"/>
          <w:b/>
          <w:i w:val="0"/>
          <w:sz w:val="21"/>
        </w:rPr>
        <w:t xml:space="preserve">AI Ops &amp; Assurance: </w:t>
      </w:r>
      <w:r>
        <w:rPr>
          <w:rFonts w:ascii="Calibri" w:hAnsi="Calibri"/>
          <w:b w:val="0"/>
          <w:i w:val="0"/>
          <w:sz w:val="21"/>
        </w:rPr>
        <w:t>Token economics, agent quality, bias, explainability &amp; governance.  Metrics: Token Usage &amp; Cost / Sprint, AI Cost / Story Point, Agent Success Rate, Hallucination Rate, RAG Groundedness.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