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F2D5E"/>
          </w:tcPr>
          <w:p>
            <w:pPr>
              <w:spacing w:before="400" w:after="120"/>
              <w:jc w:val="center"/>
            </w:pPr>
            <w:r>
              <w:rPr>
                <w:rFonts w:ascii="Calibri" w:hAnsi="Calibri"/>
                <w:b/>
                <w:i w:val="0"/>
                <w:color w:val="FFFFFF"/>
                <w:sz w:val="44"/>
              </w:rPr>
              <w:t>AI-Powered PDLC Transformation</w:t>
            </w:r>
          </w:p>
          <w:p>
            <w:pPr>
              <w:jc w:val="center"/>
            </w:pPr>
            <w:r>
              <w:rPr>
                <w:rFonts w:ascii="Calibri" w:hAnsi="Calibri"/>
                <w:b w:val="0"/>
                <w:i w:val="0"/>
                <w:color w:val="DBEAFE"/>
                <w:sz w:val="26"/>
              </w:rPr>
              <w:t>GTM Pack — Set 1: CXO GTM Pack</w:t>
            </w:r>
          </w:p>
          <w:p>
            <w:pPr>
              <w:spacing w:after="400"/>
              <w:jc w:val="center"/>
            </w:pPr>
            <w:r>
              <w:rPr>
                <w:rFonts w:ascii="Calibri" w:hAnsi="Calibri"/>
                <w:b w:val="0"/>
                <w:i/>
                <w:color w:val="DBEAFE"/>
                <w:sz w:val="22"/>
              </w:rPr>
              <w:t>Document 05 of 10</w:t>
            </w:r>
          </w:p>
        </w:tc>
      </w:tr>
    </w:tbl>
    <w:p/>
    <w:p>
      <w:pPr>
        <w:jc w:val="center"/>
      </w:pPr>
      <w:r>
        <w:rPr>
          <w:rFonts w:ascii="Calibri" w:hAnsi="Calibri"/>
          <w:b/>
          <w:i w:val="0"/>
          <w:color w:val="0F2D5E"/>
          <w:sz w:val="52"/>
        </w:rPr>
        <w:t>ROI Calculator &amp; Business Case Guide</w:t>
      </w:r>
    </w:p>
    <w:p>
      <w:pPr>
        <w:jc w:val="center"/>
      </w:pPr>
      <w:r>
        <w:rPr>
          <w:rFonts w:ascii="Calibri" w:hAnsi="Calibri"/>
          <w:b w:val="0"/>
          <w:i/>
          <w:color w:val="2563EB"/>
          <w:sz w:val="28"/>
        </w:rPr>
        <w:t>Three-Option Framework: Quantify Your Transformation Return</w:t>
      </w:r>
    </w:p>
    <w:p>
      <w:pPr>
        <w:spacing w:before="60" w:after="60"/>
        <w:pBdr>
          <w:bottom w:val="single" w:sz="6" w:space="1" w:color="2563EB"/>
        </w:pBdr>
      </w:pPr>
    </w:p>
    <w:p>
      <w:pPr>
        <w:jc w:val="center"/>
      </w:pPr>
      <w:r>
        <w:rPr>
          <w:rFonts w:ascii="Calibri" w:hAnsi="Calibri"/>
          <w:b w:val="0"/>
          <w:i w:val="0"/>
          <w:color w:val="4B5563"/>
          <w:sz w:val="22"/>
        </w:rPr>
        <w:t>DIAGNOSE · DESIGN · DELIVER · Accelerated by AI</w:t>
      </w:r>
    </w:p>
    <w:p>
      <w:r>
        <w:br w:type="page"/>
      </w:r>
    </w:p>
    <w:p>
      <w:pPr>
        <w:spacing w:before="400" w:after="120"/>
      </w:pPr>
      <w:r>
        <w:rPr>
          <w:rFonts w:ascii="Calibri" w:hAnsi="Calibri"/>
          <w:b/>
          <w:i w:val="0"/>
          <w:color w:val="0F2D5E"/>
          <w:sz w:val="32"/>
        </w:rPr>
        <w:t>How to Use This Guide</w:t>
      </w:r>
    </w:p>
    <w:p>
      <w:pPr>
        <w:spacing w:after="80"/>
      </w:pPr>
      <w:r>
        <w:rPr>
          <w:rFonts w:ascii="Calibri" w:hAnsi="Calibri"/>
          <w:b w:val="0"/>
          <w:i w:val="0"/>
          <w:sz w:val="21"/>
        </w:rPr>
        <w:t>This guide is designed to help you estimate the return on investment for each of the three AI-Powered PDLC Transformation options before committing to Phase 1. Use it to build a preliminary business case for internal sponsorship, or to frame the financial conversation with your CFO.</w:t>
      </w:r>
    </w:p>
    <w:p>
      <w:pPr>
        <w:spacing w:after="80"/>
      </w:pPr>
      <w:r>
        <w:rPr>
          <w:rFonts w:ascii="Calibri" w:hAnsi="Calibri"/>
          <w:b w:val="0"/>
          <w:i w:val="0"/>
          <w:sz w:val="21"/>
        </w:rPr>
        <w:t>The guide follows four steps: baseline your current state, identify your bottleneck cost, calculate expected returns for each option, and review the US Bank worked example.</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Important: These worksheets use your estimates. Phase 1 Diagnose will produce the precise, data-derived numbers. The purpose of this guide is to demonstrate the scale of opportunity — not to replace the diagnostic.</w:t>
            </w:r>
          </w:p>
        </w:tc>
      </w:tr>
    </w:tbl>
    <w:p/>
    <w:p>
      <w:pPr>
        <w:spacing w:before="60" w:after="60"/>
        <w:pBdr>
          <w:bottom w:val="single" w:sz="6" w:space="1" w:color="2563EB"/>
        </w:pBdr>
      </w:pPr>
    </w:p>
    <w:p>
      <w:pPr>
        <w:spacing w:before="400" w:after="120"/>
      </w:pPr>
      <w:r>
        <w:rPr>
          <w:rFonts w:ascii="Calibri" w:hAnsi="Calibri"/>
          <w:b/>
          <w:i w:val="0"/>
          <w:color w:val="0F2D5E"/>
          <w:sz w:val="32"/>
        </w:rPr>
        <w:t>Step 1: Baseline Your Current State</w:t>
      </w:r>
    </w:p>
    <w:p>
      <w:pPr>
        <w:spacing w:after="80"/>
      </w:pPr>
      <w:r>
        <w:rPr>
          <w:rFonts w:ascii="Calibri" w:hAnsi="Calibri"/>
          <w:b w:val="0"/>
          <w:i w:val="0"/>
          <w:sz w:val="21"/>
        </w:rPr>
        <w:t>Complete the following fields with your best estimates. Estimates are acceptable at this stage — Phase 1 will replace them with measured data.</w:t>
      </w:r>
    </w:p>
    <w:p>
      <w:pPr>
        <w:spacing w:before="240" w:after="80"/>
      </w:pPr>
      <w:r>
        <w:rPr>
          <w:rFonts w:ascii="Calibri" w:hAnsi="Calibri"/>
          <w:b/>
          <w:i w:val="0"/>
          <w:color w:val="2563EB"/>
          <w:sz w:val="26"/>
        </w:rPr>
        <w:t>Delivery Metrics</w:t>
      </w:r>
    </w:p>
    <w:tbl>
      <w:tblPr>
        <w:tblStyle w:val="TableGrid"/>
        <w:tblW w:type="auto" w:w="0"/>
        <w:tblLook w:firstColumn="1" w:firstRow="1" w:lastColumn="0" w:lastRow="0" w:noHBand="0" w:noVBand="1" w:val="04A0"/>
      </w:tblPr>
      <w:tblGrid>
        <w:gridCol w:w="2340"/>
        <w:gridCol w:w="2340"/>
        <w:gridCol w:w="2340"/>
        <w:gridCol w:w="2340"/>
      </w:tblGrid>
      <w:tr>
        <w:tc>
          <w:tcPr>
            <w:tcW w:type="dxa" w:w="3456"/>
            <w:shd w:val="clear" w:color="auto" w:fill="0F2D5E"/>
          </w:tcPr>
          <w:p>
            <w:r>
              <w:rPr>
                <w:rFonts w:ascii="Calibri" w:hAnsi="Calibri"/>
                <w:b/>
                <w:i w:val="0"/>
                <w:color w:val="FFFFFF"/>
                <w:sz w:val="19"/>
              </w:rPr>
              <w:t>Metric</w:t>
            </w:r>
          </w:p>
        </w:tc>
        <w:tc>
          <w:tcPr>
            <w:tcW w:type="dxa" w:w="2160"/>
            <w:shd w:val="clear" w:color="auto" w:fill="0F2D5E"/>
          </w:tcPr>
          <w:p>
            <w:r>
              <w:rPr>
                <w:rFonts w:ascii="Calibri" w:hAnsi="Calibri"/>
                <w:b/>
                <w:i w:val="0"/>
                <w:color w:val="FFFFFF"/>
                <w:sz w:val="19"/>
              </w:rPr>
              <w:t>Your Estimate</w:t>
            </w:r>
          </w:p>
        </w:tc>
        <w:tc>
          <w:tcPr>
            <w:tcW w:type="dxa" w:w="2160"/>
            <w:shd w:val="clear" w:color="auto" w:fill="0F2D5E"/>
          </w:tcPr>
          <w:p>
            <w:r>
              <w:rPr>
                <w:rFonts w:ascii="Calibri" w:hAnsi="Calibri"/>
                <w:b/>
                <w:i w:val="0"/>
                <w:color w:val="FFFFFF"/>
                <w:sz w:val="19"/>
              </w:rPr>
              <w:t>Industry Average</w:t>
            </w:r>
          </w:p>
        </w:tc>
        <w:tc>
          <w:tcPr>
            <w:tcW w:type="dxa" w:w="1872"/>
            <w:shd w:val="clear" w:color="auto" w:fill="0F2D5E"/>
          </w:tcPr>
          <w:p>
            <w:r>
              <w:rPr>
                <w:rFonts w:ascii="Calibri" w:hAnsi="Calibri"/>
                <w:b/>
                <w:i w:val="0"/>
                <w:color w:val="FFFFFF"/>
                <w:sz w:val="19"/>
              </w:rPr>
              <w:t>World-Class</w:t>
            </w:r>
          </w:p>
        </w:tc>
      </w:tr>
      <w:tr>
        <w:tc>
          <w:tcPr>
            <w:tcW w:type="dxa" w:w="3456"/>
            <w:shd w:val="clear" w:color="auto" w:fill="F3F4F6"/>
          </w:tcPr>
          <w:p>
            <w:r>
              <w:rPr>
                <w:rFonts w:ascii="Calibri" w:hAnsi="Calibri"/>
                <w:b w:val="0"/>
                <w:i w:val="0"/>
                <w:sz w:val="19"/>
              </w:rPr>
              <w:t>Average feature lead time (business days)</w:t>
            </w:r>
          </w:p>
        </w:tc>
        <w:tc>
          <w:tcPr>
            <w:tcW w:type="dxa" w:w="2160"/>
            <w:shd w:val="clear" w:color="auto" w:fill="F3F4F6"/>
          </w:tcPr>
          <w:p>
            <w:r>
              <w:rPr>
                <w:rFonts w:ascii="Calibri" w:hAnsi="Calibri"/>
                <w:b w:val="0"/>
                <w:i w:val="0"/>
                <w:sz w:val="19"/>
              </w:rPr>
              <w:t>_____ days</w:t>
            </w:r>
          </w:p>
        </w:tc>
        <w:tc>
          <w:tcPr>
            <w:tcW w:type="dxa" w:w="2160"/>
            <w:shd w:val="clear" w:color="auto" w:fill="F3F4F6"/>
          </w:tcPr>
          <w:p>
            <w:r>
              <w:rPr>
                <w:rFonts w:ascii="Calibri" w:hAnsi="Calibri"/>
                <w:b w:val="0"/>
                <w:i w:val="0"/>
                <w:sz w:val="19"/>
              </w:rPr>
              <w:t>28–42 days</w:t>
            </w:r>
          </w:p>
        </w:tc>
        <w:tc>
          <w:tcPr>
            <w:tcW w:type="dxa" w:w="1872"/>
            <w:shd w:val="clear" w:color="auto" w:fill="F3F4F6"/>
          </w:tcPr>
          <w:p>
            <w:r>
              <w:rPr>
                <w:rFonts w:ascii="Calibri" w:hAnsi="Calibri"/>
                <w:b w:val="0"/>
                <w:i w:val="0"/>
                <w:sz w:val="19"/>
              </w:rPr>
              <w:t>8–12 days</w:t>
            </w:r>
          </w:p>
        </w:tc>
      </w:tr>
      <w:tr>
        <w:tc>
          <w:tcPr>
            <w:tcW w:type="dxa" w:w="3456"/>
            <w:shd w:val="clear" w:color="auto" w:fill="FFFFFF"/>
          </w:tcPr>
          <w:p>
            <w:r>
              <w:rPr>
                <w:rFonts w:ascii="Calibri" w:hAnsi="Calibri"/>
                <w:b w:val="0"/>
                <w:i w:val="0"/>
                <w:sz w:val="19"/>
              </w:rPr>
              <w:t>Estimated flow efficiency (%)</w:t>
            </w:r>
          </w:p>
        </w:tc>
        <w:tc>
          <w:tcPr>
            <w:tcW w:type="dxa" w:w="2160"/>
            <w:shd w:val="clear" w:color="auto" w:fill="FFFFFF"/>
          </w:tcPr>
          <w:p>
            <w:r>
              <w:rPr>
                <w:rFonts w:ascii="Calibri" w:hAnsi="Calibri"/>
                <w:b w:val="0"/>
                <w:i w:val="0"/>
                <w:sz w:val="19"/>
              </w:rPr>
              <w:t>_____%</w:t>
            </w:r>
          </w:p>
        </w:tc>
        <w:tc>
          <w:tcPr>
            <w:tcW w:type="dxa" w:w="2160"/>
            <w:shd w:val="clear" w:color="auto" w:fill="FFFFFF"/>
          </w:tcPr>
          <w:p>
            <w:r>
              <w:rPr>
                <w:rFonts w:ascii="Calibri" w:hAnsi="Calibri"/>
                <w:b w:val="0"/>
                <w:i w:val="0"/>
                <w:sz w:val="19"/>
              </w:rPr>
              <w:t>17%</w:t>
            </w:r>
          </w:p>
        </w:tc>
        <w:tc>
          <w:tcPr>
            <w:tcW w:type="dxa" w:w="1872"/>
            <w:shd w:val="clear" w:color="auto" w:fill="FFFFFF"/>
          </w:tcPr>
          <w:p>
            <w:r>
              <w:rPr>
                <w:rFonts w:ascii="Calibri" w:hAnsi="Calibri"/>
                <w:b w:val="0"/>
                <w:i w:val="0"/>
                <w:sz w:val="19"/>
              </w:rPr>
              <w:t>40%+</w:t>
            </w:r>
          </w:p>
        </w:tc>
      </w:tr>
      <w:tr>
        <w:tc>
          <w:tcPr>
            <w:tcW w:type="dxa" w:w="3456"/>
            <w:shd w:val="clear" w:color="auto" w:fill="F3F4F6"/>
          </w:tcPr>
          <w:p>
            <w:r>
              <w:rPr>
                <w:rFonts w:ascii="Calibri" w:hAnsi="Calibri"/>
                <w:b w:val="0"/>
                <w:i w:val="0"/>
                <w:sz w:val="19"/>
              </w:rPr>
              <w:t>Number of engineering FTEs</w:t>
            </w:r>
          </w:p>
        </w:tc>
        <w:tc>
          <w:tcPr>
            <w:tcW w:type="dxa" w:w="2160"/>
            <w:shd w:val="clear" w:color="auto" w:fill="F3F4F6"/>
          </w:tcPr>
          <w:p>
            <w:r>
              <w:rPr>
                <w:rFonts w:ascii="Calibri" w:hAnsi="Calibri"/>
                <w:b w:val="0"/>
                <w:i w:val="0"/>
                <w:sz w:val="19"/>
              </w:rPr>
              <w:t>_____</w:t>
            </w:r>
          </w:p>
        </w:tc>
        <w:tc>
          <w:tcPr>
            <w:tcW w:type="dxa" w:w="2160"/>
            <w:shd w:val="clear" w:color="auto" w:fill="F3F4F6"/>
          </w:tcPr>
          <w:p>
            <w:r>
              <w:rPr>
                <w:rFonts w:ascii="Calibri" w:hAnsi="Calibri"/>
                <w:b w:val="0"/>
                <w:i w:val="0"/>
                <w:sz w:val="19"/>
              </w:rPr>
              <w:t>—</w:t>
            </w:r>
          </w:p>
        </w:tc>
        <w:tc>
          <w:tcPr>
            <w:tcW w:type="dxa" w:w="1872"/>
            <w:shd w:val="clear" w:color="auto" w:fill="F3F4F6"/>
          </w:tcPr>
          <w:p>
            <w:r>
              <w:rPr>
                <w:rFonts w:ascii="Calibri" w:hAnsi="Calibri"/>
                <w:b w:val="0"/>
                <w:i w:val="0"/>
                <w:sz w:val="19"/>
              </w:rPr>
              <w:t>—</w:t>
            </w:r>
          </w:p>
        </w:tc>
      </w:tr>
      <w:tr>
        <w:tc>
          <w:tcPr>
            <w:tcW w:type="dxa" w:w="3456"/>
            <w:shd w:val="clear" w:color="auto" w:fill="FFFFFF"/>
          </w:tcPr>
          <w:p>
            <w:r>
              <w:rPr>
                <w:rFonts w:ascii="Calibri" w:hAnsi="Calibri"/>
                <w:b w:val="0"/>
                <w:i w:val="0"/>
                <w:sz w:val="19"/>
              </w:rPr>
              <w:t>Average fully-loaded FTE cost per year ($)</w:t>
            </w:r>
          </w:p>
        </w:tc>
        <w:tc>
          <w:tcPr>
            <w:tcW w:type="dxa" w:w="2160"/>
            <w:shd w:val="clear" w:color="auto" w:fill="FFFFFF"/>
          </w:tcPr>
          <w:p>
            <w:r>
              <w:rPr>
                <w:rFonts w:ascii="Calibri" w:hAnsi="Calibri"/>
                <w:b w:val="0"/>
                <w:i w:val="0"/>
                <w:sz w:val="19"/>
              </w:rPr>
              <w:t>$_____</w:t>
            </w:r>
          </w:p>
        </w:tc>
        <w:tc>
          <w:tcPr>
            <w:tcW w:type="dxa" w:w="2160"/>
            <w:shd w:val="clear" w:color="auto" w:fill="FFFFFF"/>
          </w:tcPr>
          <w:p>
            <w:r>
              <w:rPr>
                <w:rFonts w:ascii="Calibri" w:hAnsi="Calibri"/>
                <w:b w:val="0"/>
                <w:i w:val="0"/>
                <w:sz w:val="19"/>
              </w:rPr>
              <w:t>$150–250K</w:t>
            </w:r>
          </w:p>
        </w:tc>
        <w:tc>
          <w:tcPr>
            <w:tcW w:type="dxa" w:w="1872"/>
            <w:shd w:val="clear" w:color="auto" w:fill="FFFFFF"/>
          </w:tcPr>
          <w:p>
            <w:r>
              <w:rPr>
                <w:rFonts w:ascii="Calibri" w:hAnsi="Calibri"/>
                <w:b w:val="0"/>
                <w:i w:val="0"/>
                <w:sz w:val="19"/>
              </w:rPr>
              <w:t>—</w:t>
            </w:r>
          </w:p>
        </w:tc>
      </w:tr>
      <w:tr>
        <w:tc>
          <w:tcPr>
            <w:tcW w:type="dxa" w:w="3456"/>
            <w:shd w:val="clear" w:color="auto" w:fill="F3F4F6"/>
          </w:tcPr>
          <w:p>
            <w:r>
              <w:rPr>
                <w:rFonts w:ascii="Calibri" w:hAnsi="Calibri"/>
                <w:b w:val="0"/>
                <w:i w:val="0"/>
                <w:sz w:val="19"/>
              </w:rPr>
              <w:t>Average defect escape rate (% to production)</w:t>
            </w:r>
          </w:p>
        </w:tc>
        <w:tc>
          <w:tcPr>
            <w:tcW w:type="dxa" w:w="2160"/>
            <w:shd w:val="clear" w:color="auto" w:fill="F3F4F6"/>
          </w:tcPr>
          <w:p>
            <w:r>
              <w:rPr>
                <w:rFonts w:ascii="Calibri" w:hAnsi="Calibri"/>
                <w:b w:val="0"/>
                <w:i w:val="0"/>
                <w:sz w:val="19"/>
              </w:rPr>
              <w:t>_____%</w:t>
            </w:r>
          </w:p>
        </w:tc>
        <w:tc>
          <w:tcPr>
            <w:tcW w:type="dxa" w:w="2160"/>
            <w:shd w:val="clear" w:color="auto" w:fill="F3F4F6"/>
          </w:tcPr>
          <w:p>
            <w:r>
              <w:rPr>
                <w:rFonts w:ascii="Calibri" w:hAnsi="Calibri"/>
                <w:b w:val="0"/>
                <w:i w:val="0"/>
                <w:sz w:val="19"/>
              </w:rPr>
              <w:t>18–25%</w:t>
            </w:r>
          </w:p>
        </w:tc>
        <w:tc>
          <w:tcPr>
            <w:tcW w:type="dxa" w:w="1872"/>
            <w:shd w:val="clear" w:color="auto" w:fill="F3F4F6"/>
          </w:tcPr>
          <w:p>
            <w:r>
              <w:rPr>
                <w:rFonts w:ascii="Calibri" w:hAnsi="Calibri"/>
                <w:b w:val="0"/>
                <w:i w:val="0"/>
                <w:sz w:val="19"/>
              </w:rPr>
              <w:t>&lt; 5%</w:t>
            </w:r>
          </w:p>
        </w:tc>
      </w:tr>
      <w:tr>
        <w:tc>
          <w:tcPr>
            <w:tcW w:type="dxa" w:w="3456"/>
            <w:shd w:val="clear" w:color="auto" w:fill="FFFFFF"/>
          </w:tcPr>
          <w:p>
            <w:r>
              <w:rPr>
                <w:rFonts w:ascii="Calibri" w:hAnsi="Calibri"/>
                <w:b w:val="0"/>
                <w:i w:val="0"/>
                <w:sz w:val="19"/>
              </w:rPr>
              <w:t>Average rework as % of sprint capacity</w:t>
            </w:r>
          </w:p>
        </w:tc>
        <w:tc>
          <w:tcPr>
            <w:tcW w:type="dxa" w:w="2160"/>
            <w:shd w:val="clear" w:color="auto" w:fill="FFFFFF"/>
          </w:tcPr>
          <w:p>
            <w:r>
              <w:rPr>
                <w:rFonts w:ascii="Calibri" w:hAnsi="Calibri"/>
                <w:b w:val="0"/>
                <w:i w:val="0"/>
                <w:sz w:val="19"/>
              </w:rPr>
              <w:t>_____%</w:t>
            </w:r>
          </w:p>
        </w:tc>
        <w:tc>
          <w:tcPr>
            <w:tcW w:type="dxa" w:w="2160"/>
            <w:shd w:val="clear" w:color="auto" w:fill="FFFFFF"/>
          </w:tcPr>
          <w:p>
            <w:r>
              <w:rPr>
                <w:rFonts w:ascii="Calibri" w:hAnsi="Calibri"/>
                <w:b w:val="0"/>
                <w:i w:val="0"/>
                <w:sz w:val="19"/>
              </w:rPr>
              <w:t>20–30%</w:t>
            </w:r>
          </w:p>
        </w:tc>
        <w:tc>
          <w:tcPr>
            <w:tcW w:type="dxa" w:w="1872"/>
            <w:shd w:val="clear" w:color="auto" w:fill="FFFFFF"/>
          </w:tcPr>
          <w:p>
            <w:r>
              <w:rPr>
                <w:rFonts w:ascii="Calibri" w:hAnsi="Calibri"/>
                <w:b w:val="0"/>
                <w:i w:val="0"/>
                <w:sz w:val="19"/>
              </w:rPr>
              <w:t>&lt; 8%</w:t>
            </w:r>
          </w:p>
        </w:tc>
      </w:tr>
    </w:tbl>
    <w:p/>
    <w:p>
      <w:pPr>
        <w:spacing w:before="240" w:after="80"/>
      </w:pPr>
      <w:r>
        <w:rPr>
          <w:rFonts w:ascii="Calibri" w:hAnsi="Calibri"/>
          <w:b/>
          <w:i w:val="0"/>
          <w:color w:val="2563EB"/>
          <w:sz w:val="26"/>
        </w:rPr>
        <w:t>Revenue Impact Metrics</w:t>
      </w:r>
    </w:p>
    <w:tbl>
      <w:tblPr>
        <w:tblStyle w:val="TableGrid"/>
        <w:tblW w:type="auto" w:w="0"/>
        <w:tblLook w:firstColumn="1" w:firstRow="1" w:lastColumn="0" w:lastRow="0" w:noHBand="0" w:noVBand="1" w:val="04A0"/>
      </w:tblPr>
      <w:tblGrid>
        <w:gridCol w:w="4680"/>
        <w:gridCol w:w="4680"/>
      </w:tblGrid>
      <w:tr>
        <w:tc>
          <w:tcPr>
            <w:tcW w:type="dxa" w:w="5040"/>
            <w:shd w:val="clear" w:color="auto" w:fill="0F2D5E"/>
          </w:tcPr>
          <w:p>
            <w:r>
              <w:rPr>
                <w:rFonts w:ascii="Calibri" w:hAnsi="Calibri"/>
                <w:b/>
                <w:i w:val="0"/>
                <w:color w:val="FFFFFF"/>
                <w:sz w:val="19"/>
              </w:rPr>
              <w:t>Metric</w:t>
            </w:r>
          </w:p>
        </w:tc>
        <w:tc>
          <w:tcPr>
            <w:tcW w:type="dxa" w:w="3888"/>
            <w:shd w:val="clear" w:color="auto" w:fill="0F2D5E"/>
          </w:tcPr>
          <w:p>
            <w:r>
              <w:rPr>
                <w:rFonts w:ascii="Calibri" w:hAnsi="Calibri"/>
                <w:b/>
                <w:i w:val="0"/>
                <w:color w:val="FFFFFF"/>
                <w:sz w:val="19"/>
              </w:rPr>
              <w:t>Your Estimate</w:t>
            </w:r>
          </w:p>
        </w:tc>
      </w:tr>
      <w:tr>
        <w:tc>
          <w:tcPr>
            <w:tcW w:type="dxa" w:w="5040"/>
            <w:shd w:val="clear" w:color="auto" w:fill="F3F4F6"/>
          </w:tcPr>
          <w:p>
            <w:r>
              <w:rPr>
                <w:rFonts w:ascii="Calibri" w:hAnsi="Calibri"/>
                <w:b w:val="0"/>
                <w:i w:val="0"/>
                <w:sz w:val="19"/>
              </w:rPr>
              <w:t>Monthly revenue attributable to digital products ($)</w:t>
            </w:r>
          </w:p>
        </w:tc>
        <w:tc>
          <w:tcPr>
            <w:tcW w:type="dxa" w:w="3888"/>
            <w:shd w:val="clear" w:color="auto" w:fill="F3F4F6"/>
          </w:tcPr>
          <w:p>
            <w:r>
              <w:rPr>
                <w:rFonts w:ascii="Calibri" w:hAnsi="Calibri"/>
                <w:b w:val="0"/>
                <w:i w:val="0"/>
                <w:sz w:val="19"/>
              </w:rPr>
              <w:t>$_____</w:t>
            </w:r>
          </w:p>
        </w:tc>
      </w:tr>
      <w:tr>
        <w:tc>
          <w:tcPr>
            <w:tcW w:type="dxa" w:w="5040"/>
            <w:shd w:val="clear" w:color="auto" w:fill="FFFFFF"/>
          </w:tcPr>
          <w:p>
            <w:r>
              <w:rPr>
                <w:rFonts w:ascii="Calibri" w:hAnsi="Calibri"/>
                <w:b w:val="0"/>
                <w:i w:val="0"/>
                <w:sz w:val="19"/>
              </w:rPr>
              <w:t>Average delay to revenue from late feature delivery (weeks)</w:t>
            </w:r>
          </w:p>
        </w:tc>
        <w:tc>
          <w:tcPr>
            <w:tcW w:type="dxa" w:w="3888"/>
            <w:shd w:val="clear" w:color="auto" w:fill="FFFFFF"/>
          </w:tcPr>
          <w:p>
            <w:r>
              <w:rPr>
                <w:rFonts w:ascii="Calibri" w:hAnsi="Calibri"/>
                <w:b w:val="0"/>
                <w:i w:val="0"/>
                <w:sz w:val="19"/>
              </w:rPr>
              <w:t>_____ weeks</w:t>
            </w:r>
          </w:p>
        </w:tc>
      </w:tr>
      <w:tr>
        <w:tc>
          <w:tcPr>
            <w:tcW w:type="dxa" w:w="5040"/>
            <w:shd w:val="clear" w:color="auto" w:fill="F3F4F6"/>
          </w:tcPr>
          <w:p>
            <w:r>
              <w:rPr>
                <w:rFonts w:ascii="Calibri" w:hAnsi="Calibri"/>
                <w:b w:val="0"/>
                <w:i w:val="0"/>
                <w:sz w:val="19"/>
              </w:rPr>
              <w:t>Estimated annual revenue at risk from slow delivery ($)</w:t>
            </w:r>
          </w:p>
        </w:tc>
        <w:tc>
          <w:tcPr>
            <w:tcW w:type="dxa" w:w="3888"/>
            <w:shd w:val="clear" w:color="auto" w:fill="F3F4F6"/>
          </w:tcPr>
          <w:p>
            <w:r>
              <w:rPr>
                <w:rFonts w:ascii="Calibri" w:hAnsi="Calibri"/>
                <w:b w:val="0"/>
                <w:i w:val="0"/>
                <w:sz w:val="19"/>
              </w:rPr>
              <w:t>$_____</w:t>
            </w:r>
          </w:p>
        </w:tc>
      </w:tr>
    </w:tbl>
    <w:p/>
    <w:p>
      <w:pPr>
        <w:spacing w:before="60" w:after="60"/>
        <w:pBdr>
          <w:bottom w:val="single" w:sz="6" w:space="1" w:color="2563EB"/>
        </w:pBdr>
      </w:pPr>
    </w:p>
    <w:p>
      <w:pPr>
        <w:spacing w:before="400" w:after="120"/>
      </w:pPr>
      <w:r>
        <w:rPr>
          <w:rFonts w:ascii="Calibri" w:hAnsi="Calibri"/>
          <w:b/>
          <w:i w:val="0"/>
          <w:color w:val="0F2D5E"/>
          <w:sz w:val="32"/>
        </w:rPr>
        <w:t>Step 2: Calculate Your Bottleneck Cost</w:t>
      </w:r>
    </w:p>
    <w:p>
      <w:pPr>
        <w:spacing w:before="240" w:after="80"/>
      </w:pPr>
      <w:r>
        <w:rPr>
          <w:rFonts w:ascii="Calibri" w:hAnsi="Calibri"/>
          <w:b/>
          <w:i w:val="0"/>
          <w:color w:val="2563EB"/>
          <w:sz w:val="26"/>
        </w:rPr>
        <w:t>The Bottleneck Cost Formula</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Annual Bottleneck Cost = Engineering Waste Cost + Rework Cost + Revenue Delay Cost</w:t>
              <w:br/>
              <w:br/>
              <w:t xml:space="preserve">  Engineering Waste Cost = FTEs × Annual FTE Cost × (1 − Flow Efficiency %)</w:t>
              <w:br/>
              <w:t xml:space="preserve">  Rework Cost            = FTEs × Annual FTE Cost × Rework %</w:t>
              <w:br/>
              <w:t xml:space="preserve">  Revenue Delay Cost     = (Monthly Revenue at Risk) × (Avg. Delay Weeks / 52) × 12</w:t>
            </w:r>
          </w:p>
        </w:tc>
      </w:tr>
    </w:tbl>
    <w:p/>
    <w:p>
      <w:pPr>
        <w:spacing w:before="240" w:after="80"/>
      </w:pPr>
      <w:r>
        <w:rPr>
          <w:rFonts w:ascii="Calibri" w:hAnsi="Calibri"/>
          <w:b/>
          <w:i w:val="0"/>
          <w:color w:val="2563EB"/>
          <w:sz w:val="26"/>
        </w:rPr>
        <w:t>Your Calculation Worksheet</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F2D5E"/>
          </w:tcPr>
          <w:p>
            <w:r>
              <w:rPr>
                <w:rFonts w:ascii="Calibri" w:hAnsi="Calibri"/>
                <w:b/>
                <w:i w:val="0"/>
                <w:color w:val="FFFFFF"/>
                <w:sz w:val="19"/>
              </w:rPr>
              <w:t>Component</w:t>
            </w:r>
          </w:p>
        </w:tc>
        <w:tc>
          <w:tcPr>
            <w:tcW w:type="dxa" w:w="2880"/>
            <w:shd w:val="clear" w:color="auto" w:fill="0F2D5E"/>
          </w:tcPr>
          <w:p>
            <w:r>
              <w:rPr>
                <w:rFonts w:ascii="Calibri" w:hAnsi="Calibri"/>
                <w:b/>
                <w:i w:val="0"/>
                <w:color w:val="FFFFFF"/>
                <w:sz w:val="19"/>
              </w:rPr>
              <w:t>Formula</w:t>
            </w:r>
          </w:p>
        </w:tc>
        <w:tc>
          <w:tcPr>
            <w:tcW w:type="dxa" w:w="2592"/>
            <w:shd w:val="clear" w:color="auto" w:fill="0F2D5E"/>
          </w:tcPr>
          <w:p>
            <w:r>
              <w:rPr>
                <w:rFonts w:ascii="Calibri" w:hAnsi="Calibri"/>
                <w:b/>
                <w:i w:val="0"/>
                <w:color w:val="FFFFFF"/>
                <w:sz w:val="19"/>
              </w:rPr>
              <w:t>Your Calculation</w:t>
            </w:r>
          </w:p>
        </w:tc>
        <w:tc>
          <w:tcPr>
            <w:tcW w:type="dxa" w:w="2304"/>
            <w:shd w:val="clear" w:color="auto" w:fill="0F2D5E"/>
          </w:tcPr>
          <w:p>
            <w:r>
              <w:rPr>
                <w:rFonts w:ascii="Calibri" w:hAnsi="Calibri"/>
                <w:b/>
                <w:i w:val="0"/>
                <w:color w:val="FFFFFF"/>
                <w:sz w:val="19"/>
              </w:rPr>
              <w:t>Result</w:t>
            </w:r>
          </w:p>
        </w:tc>
      </w:tr>
      <w:tr>
        <w:tc>
          <w:tcPr>
            <w:tcW w:type="dxa" w:w="2592"/>
            <w:shd w:val="clear" w:color="auto" w:fill="F3F4F6"/>
          </w:tcPr>
          <w:p>
            <w:r>
              <w:rPr>
                <w:rFonts w:ascii="Calibri" w:hAnsi="Calibri"/>
                <w:b w:val="0"/>
                <w:i w:val="0"/>
                <w:sz w:val="19"/>
              </w:rPr>
              <w:t>Engineering Waste Cost</w:t>
            </w:r>
          </w:p>
        </w:tc>
        <w:tc>
          <w:tcPr>
            <w:tcW w:type="dxa" w:w="2880"/>
            <w:shd w:val="clear" w:color="auto" w:fill="F3F4F6"/>
          </w:tcPr>
          <w:p>
            <w:r>
              <w:rPr>
                <w:rFonts w:ascii="Calibri" w:hAnsi="Calibri"/>
                <w:b w:val="0"/>
                <w:i w:val="0"/>
                <w:sz w:val="19"/>
              </w:rPr>
              <w:t>FTEs × Cost × (1 − FE%)</w:t>
            </w:r>
          </w:p>
        </w:tc>
        <w:tc>
          <w:tcPr>
            <w:tcW w:type="dxa" w:w="2592"/>
            <w:shd w:val="clear" w:color="auto" w:fill="F3F4F6"/>
          </w:tcPr>
          <w:p>
            <w:r>
              <w:rPr>
                <w:rFonts w:ascii="Calibri" w:hAnsi="Calibri"/>
                <w:b w:val="0"/>
                <w:i w:val="0"/>
                <w:sz w:val="19"/>
              </w:rPr>
              <w:t>_____ × $_____ × (1 − _____%)</w:t>
            </w:r>
          </w:p>
        </w:tc>
        <w:tc>
          <w:tcPr>
            <w:tcW w:type="dxa" w:w="2304"/>
            <w:shd w:val="clear" w:color="auto" w:fill="F3F4F6"/>
          </w:tcPr>
          <w:p>
            <w:r>
              <w:rPr>
                <w:rFonts w:ascii="Calibri" w:hAnsi="Calibri"/>
                <w:b w:val="0"/>
                <w:i w:val="0"/>
                <w:sz w:val="19"/>
              </w:rPr>
              <w:t>$_____</w:t>
            </w:r>
          </w:p>
        </w:tc>
      </w:tr>
      <w:tr>
        <w:tc>
          <w:tcPr>
            <w:tcW w:type="dxa" w:w="2592"/>
            <w:shd w:val="clear" w:color="auto" w:fill="FFFFFF"/>
          </w:tcPr>
          <w:p>
            <w:r>
              <w:rPr>
                <w:rFonts w:ascii="Calibri" w:hAnsi="Calibri"/>
                <w:b w:val="0"/>
                <w:i w:val="0"/>
                <w:sz w:val="19"/>
              </w:rPr>
              <w:t>Rework Cost</w:t>
            </w:r>
          </w:p>
        </w:tc>
        <w:tc>
          <w:tcPr>
            <w:tcW w:type="dxa" w:w="2880"/>
            <w:shd w:val="clear" w:color="auto" w:fill="FFFFFF"/>
          </w:tcPr>
          <w:p>
            <w:r>
              <w:rPr>
                <w:rFonts w:ascii="Calibri" w:hAnsi="Calibri"/>
                <w:b w:val="0"/>
                <w:i w:val="0"/>
                <w:sz w:val="19"/>
              </w:rPr>
              <w:t>FTEs × Cost × Rework%</w:t>
            </w:r>
          </w:p>
        </w:tc>
        <w:tc>
          <w:tcPr>
            <w:tcW w:type="dxa" w:w="2592"/>
            <w:shd w:val="clear" w:color="auto" w:fill="FFFFFF"/>
          </w:tcPr>
          <w:p>
            <w:r>
              <w:rPr>
                <w:rFonts w:ascii="Calibri" w:hAnsi="Calibri"/>
                <w:b w:val="0"/>
                <w:i w:val="0"/>
                <w:sz w:val="19"/>
              </w:rPr>
              <w:t>_____ × $_____ × _____%</w:t>
            </w:r>
          </w:p>
        </w:tc>
        <w:tc>
          <w:tcPr>
            <w:tcW w:type="dxa" w:w="2304"/>
            <w:shd w:val="clear" w:color="auto" w:fill="FFFFFF"/>
          </w:tcPr>
          <w:p>
            <w:r>
              <w:rPr>
                <w:rFonts w:ascii="Calibri" w:hAnsi="Calibri"/>
                <w:b w:val="0"/>
                <w:i w:val="0"/>
                <w:sz w:val="19"/>
              </w:rPr>
              <w:t>$_____</w:t>
            </w:r>
          </w:p>
        </w:tc>
      </w:tr>
      <w:tr>
        <w:tc>
          <w:tcPr>
            <w:tcW w:type="dxa" w:w="2592"/>
            <w:shd w:val="clear" w:color="auto" w:fill="F3F4F6"/>
          </w:tcPr>
          <w:p>
            <w:r>
              <w:rPr>
                <w:rFonts w:ascii="Calibri" w:hAnsi="Calibri"/>
                <w:b w:val="0"/>
                <w:i w:val="0"/>
                <w:sz w:val="19"/>
              </w:rPr>
              <w:t>Revenue Delay Cost</w:t>
            </w:r>
          </w:p>
        </w:tc>
        <w:tc>
          <w:tcPr>
            <w:tcW w:type="dxa" w:w="2880"/>
            <w:shd w:val="clear" w:color="auto" w:fill="F3F4F6"/>
          </w:tcPr>
          <w:p>
            <w:r>
              <w:rPr>
                <w:rFonts w:ascii="Calibri" w:hAnsi="Calibri"/>
                <w:b w:val="0"/>
                <w:i w:val="0"/>
                <w:sz w:val="19"/>
              </w:rPr>
              <w:t>(MRR × Delay Wks / 52) × 12</w:t>
            </w:r>
          </w:p>
        </w:tc>
        <w:tc>
          <w:tcPr>
            <w:tcW w:type="dxa" w:w="2592"/>
            <w:shd w:val="clear" w:color="auto" w:fill="F3F4F6"/>
          </w:tcPr>
          <w:p>
            <w:r>
              <w:rPr>
                <w:rFonts w:ascii="Calibri" w:hAnsi="Calibri"/>
                <w:b w:val="0"/>
                <w:i w:val="0"/>
                <w:sz w:val="19"/>
              </w:rPr>
              <w:t>($_____ × _____ / 52) × 12</w:t>
            </w:r>
          </w:p>
        </w:tc>
        <w:tc>
          <w:tcPr>
            <w:tcW w:type="dxa" w:w="2304"/>
            <w:shd w:val="clear" w:color="auto" w:fill="F3F4F6"/>
          </w:tcPr>
          <w:p>
            <w:r>
              <w:rPr>
                <w:rFonts w:ascii="Calibri" w:hAnsi="Calibri"/>
                <w:b w:val="0"/>
                <w:i w:val="0"/>
                <w:sz w:val="19"/>
              </w:rPr>
              <w:t>$_____</w:t>
            </w:r>
          </w:p>
        </w:tc>
      </w:tr>
      <w:tr>
        <w:tc>
          <w:tcPr>
            <w:tcW w:type="dxa" w:w="2592"/>
            <w:shd w:val="clear" w:color="auto" w:fill="FFFFFF"/>
          </w:tcPr>
          <w:p>
            <w:r>
              <w:rPr>
                <w:rFonts w:ascii="Calibri" w:hAnsi="Calibri"/>
                <w:b w:val="0"/>
                <w:i w:val="0"/>
                <w:sz w:val="19"/>
              </w:rPr>
              <w:t>TOTAL ANNUAL BOTTLENECK COST</w:t>
            </w:r>
          </w:p>
        </w:tc>
        <w:tc>
          <w:tcPr>
            <w:tcW w:type="dxa" w:w="2880"/>
            <w:shd w:val="clear" w:color="auto" w:fill="FFFFFF"/>
          </w:tcPr>
          <w:p>
            <w:r>
              <w:rPr>
                <w:rFonts w:ascii="Calibri" w:hAnsi="Calibri"/>
                <w:b w:val="0"/>
                <w:i w:val="0"/>
                <w:sz w:val="19"/>
              </w:rPr>
            </w:r>
          </w:p>
        </w:tc>
        <w:tc>
          <w:tcPr>
            <w:tcW w:type="dxa" w:w="2592"/>
            <w:shd w:val="clear" w:color="auto" w:fill="FFFFFF"/>
          </w:tcPr>
          <w:p>
            <w:r>
              <w:rPr>
                <w:rFonts w:ascii="Calibri" w:hAnsi="Calibri"/>
                <w:b w:val="0"/>
                <w:i w:val="0"/>
                <w:sz w:val="19"/>
              </w:rPr>
            </w:r>
          </w:p>
        </w:tc>
        <w:tc>
          <w:tcPr>
            <w:tcW w:type="dxa" w:w="2304"/>
            <w:shd w:val="clear" w:color="auto" w:fill="FFFFFF"/>
          </w:tcPr>
          <w:p>
            <w:r>
              <w:rPr>
                <w:rFonts w:ascii="Calibri" w:hAnsi="Calibri"/>
                <w:b w:val="0"/>
                <w:i w:val="0"/>
                <w:sz w:val="19"/>
              </w:rPr>
              <w:t>$_____</w:t>
            </w:r>
          </w:p>
        </w:tc>
      </w:tr>
    </w:tbl>
    <w:p/>
    <w:p>
      <w:pPr>
        <w:spacing w:after="80"/>
      </w:pPr>
      <w:r>
        <w:rPr>
          <w:rFonts w:ascii="Calibri" w:hAnsi="Calibri"/>
          <w:b w:val="0"/>
          <w:i w:val="0"/>
          <w:sz w:val="21"/>
        </w:rPr>
        <w:t>This total is the annual value that your transformation programme will capture. It is also the denominator of the ROI calculation and the foundation of the business case you will present to your CFO.</w:t>
      </w:r>
    </w:p>
    <w:p>
      <w:pPr>
        <w:spacing w:before="60" w:after="60"/>
        <w:pBdr>
          <w:bottom w:val="single" w:sz="6" w:space="1" w:color="2563EB"/>
        </w:pBdr>
      </w:pPr>
    </w:p>
    <w:p>
      <w:pPr>
        <w:spacing w:before="400" w:after="120"/>
      </w:pPr>
      <w:r>
        <w:rPr>
          <w:rFonts w:ascii="Calibri" w:hAnsi="Calibri"/>
          <w:b/>
          <w:i w:val="0"/>
          <w:color w:val="0F2D5E"/>
          <w:sz w:val="32"/>
        </w:rPr>
        <w:t>Step 3: Calculate ROI by Option</w:t>
      </w:r>
    </w:p>
    <w:p>
      <w:pPr>
        <w:spacing w:after="80"/>
      </w:pPr>
      <w:r>
        <w:rPr>
          <w:rFonts w:ascii="Calibri" w:hAnsi="Calibri"/>
          <w:b w:val="0"/>
          <w:i w:val="0"/>
          <w:sz w:val="21"/>
        </w:rPr>
        <w:t>Use your bottleneck cost figure from Step 2 to complete the ROI worksheet for each option. Review the metric improvements and apply them to estimate your annual benefit.</w:t>
      </w:r>
    </w:p>
    <w:p>
      <w:pPr>
        <w:spacing w:before="240" w:after="80"/>
      </w:pPr>
      <w:r>
        <w:rPr>
          <w:rFonts w:ascii="Calibri" w:hAnsi="Calibri"/>
          <w:b/>
          <w:i w:val="0"/>
          <w:color w:val="2563EB"/>
          <w:sz w:val="26"/>
        </w:rPr>
        <w:t>Option A ROI Worksheet — AI-Augmented PDLC</w:t>
      </w:r>
    </w:p>
    <w:tbl>
      <w:tblPr>
        <w:tblStyle w:val="TableGrid"/>
        <w:tblW w:type="auto" w:w="0"/>
        <w:tblLook w:firstColumn="1" w:firstRow="1" w:lastColumn="0" w:lastRow="0" w:noHBand="0" w:noVBand="1" w:val="04A0"/>
      </w:tblPr>
      <w:tblGrid>
        <w:gridCol w:w="9360"/>
      </w:tblGrid>
      <w:tr>
        <w:tc>
          <w:tcPr>
            <w:tcW w:type="dxa" w:w="9360"/>
            <w:shd w:val="clear" w:color="auto" w:fill="F3F4F6"/>
          </w:tcPr>
          <w:p>
            <w:r>
              <w:rPr>
                <w:rFonts w:ascii="Calibri" w:hAnsi="Calibri"/>
                <w:b w:val="0"/>
                <w:i/>
                <w:color w:val="0F2D5E"/>
                <w:sz w:val="21"/>
              </w:rPr>
              <w:t>Option A: Human in the Loop | Speed +25% | Productivity +20% | Quality +15% | Investment $350–600K</w:t>
            </w:r>
          </w:p>
        </w:tc>
      </w:tr>
    </w:tbl>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0F2D5E"/>
          </w:tcPr>
          <w:p>
            <w:r>
              <w:rPr>
                <w:rFonts w:ascii="Calibri" w:hAnsi="Calibri"/>
                <w:b/>
                <w:i w:val="0"/>
                <w:color w:val="FFFFFF"/>
                <w:sz w:val="19"/>
              </w:rPr>
              <w:t>Item</w:t>
            </w:r>
          </w:p>
        </w:tc>
        <w:tc>
          <w:tcPr>
            <w:tcW w:type="dxa" w:w="3024"/>
            <w:shd w:val="clear" w:color="auto" w:fill="0F2D5E"/>
          </w:tcPr>
          <w:p>
            <w:r>
              <w:rPr>
                <w:rFonts w:ascii="Calibri" w:hAnsi="Calibri"/>
                <w:b/>
                <w:i w:val="0"/>
                <w:color w:val="FFFFFF"/>
                <w:sz w:val="19"/>
              </w:rPr>
              <w:t>Formula / Input</w:t>
            </w:r>
          </w:p>
        </w:tc>
        <w:tc>
          <w:tcPr>
            <w:tcW w:type="dxa" w:w="2736"/>
            <w:shd w:val="clear" w:color="auto" w:fill="0F2D5E"/>
          </w:tcPr>
          <w:p>
            <w:r>
              <w:rPr>
                <w:rFonts w:ascii="Calibri" w:hAnsi="Calibri"/>
                <w:b/>
                <w:i w:val="0"/>
                <w:color w:val="FFFFFF"/>
                <w:sz w:val="19"/>
              </w:rPr>
              <w:t>Your Calculation</w:t>
            </w:r>
          </w:p>
        </w:tc>
      </w:tr>
      <w:tr>
        <w:tc>
          <w:tcPr>
            <w:tcW w:type="dxa" w:w="3168"/>
            <w:shd w:val="clear" w:color="auto" w:fill="F3F4F6"/>
          </w:tcPr>
          <w:p>
            <w:r>
              <w:rPr>
                <w:rFonts w:ascii="Calibri" w:hAnsi="Calibri"/>
                <w:b w:val="0"/>
                <w:i w:val="0"/>
                <w:sz w:val="19"/>
              </w:rPr>
              <w:t>Speed benefit (lead time reduction)</w:t>
            </w:r>
          </w:p>
        </w:tc>
        <w:tc>
          <w:tcPr>
            <w:tcW w:type="dxa" w:w="3024"/>
            <w:shd w:val="clear" w:color="auto" w:fill="F3F4F6"/>
          </w:tcPr>
          <w:p>
            <w:r>
              <w:rPr>
                <w:rFonts w:ascii="Calibri" w:hAnsi="Calibri"/>
                <w:b w:val="0"/>
                <w:i w:val="0"/>
                <w:sz w:val="19"/>
              </w:rPr>
              <w:t>Bottleneck Cost × 25%</w:t>
            </w:r>
          </w:p>
        </w:tc>
        <w:tc>
          <w:tcPr>
            <w:tcW w:type="dxa" w:w="2736"/>
            <w:shd w:val="clear" w:color="auto" w:fill="F3F4F6"/>
          </w:tcPr>
          <w:p>
            <w:r>
              <w:rPr>
                <w:rFonts w:ascii="Calibri" w:hAnsi="Calibri"/>
                <w:b w:val="0"/>
                <w:i w:val="0"/>
                <w:sz w:val="19"/>
              </w:rPr>
              <w:t>$_____ × 0.25 = $_____</w:t>
            </w:r>
          </w:p>
        </w:tc>
      </w:tr>
      <w:tr>
        <w:tc>
          <w:tcPr>
            <w:tcW w:type="dxa" w:w="3168"/>
            <w:shd w:val="clear" w:color="auto" w:fill="FFFFFF"/>
          </w:tcPr>
          <w:p>
            <w:r>
              <w:rPr>
                <w:rFonts w:ascii="Calibri" w:hAnsi="Calibri"/>
                <w:b w:val="0"/>
                <w:i w:val="0"/>
                <w:sz w:val="19"/>
              </w:rPr>
              <w:t>Productivity benefit (throughput gain)</w:t>
            </w:r>
          </w:p>
        </w:tc>
        <w:tc>
          <w:tcPr>
            <w:tcW w:type="dxa" w:w="3024"/>
            <w:shd w:val="clear" w:color="auto" w:fill="FFFFFF"/>
          </w:tcPr>
          <w:p>
            <w:r>
              <w:rPr>
                <w:rFonts w:ascii="Calibri" w:hAnsi="Calibri"/>
                <w:b w:val="0"/>
                <w:i w:val="0"/>
                <w:sz w:val="19"/>
              </w:rPr>
              <w:t>Bottleneck Cost × 20%</w:t>
            </w:r>
          </w:p>
        </w:tc>
        <w:tc>
          <w:tcPr>
            <w:tcW w:type="dxa" w:w="2736"/>
            <w:shd w:val="clear" w:color="auto" w:fill="FFFFFF"/>
          </w:tcPr>
          <w:p>
            <w:r>
              <w:rPr>
                <w:rFonts w:ascii="Calibri" w:hAnsi="Calibri"/>
                <w:b w:val="0"/>
                <w:i w:val="0"/>
                <w:sz w:val="19"/>
              </w:rPr>
              <w:t>$_____ × 0.20 = $_____</w:t>
            </w:r>
          </w:p>
        </w:tc>
      </w:tr>
      <w:tr>
        <w:tc>
          <w:tcPr>
            <w:tcW w:type="dxa" w:w="3168"/>
            <w:shd w:val="clear" w:color="auto" w:fill="F3F4F6"/>
          </w:tcPr>
          <w:p>
            <w:r>
              <w:rPr>
                <w:rFonts w:ascii="Calibri" w:hAnsi="Calibri"/>
                <w:b w:val="0"/>
                <w:i w:val="0"/>
                <w:sz w:val="19"/>
              </w:rPr>
              <w:t>Quality benefit (rework reduction)</w:t>
            </w:r>
          </w:p>
        </w:tc>
        <w:tc>
          <w:tcPr>
            <w:tcW w:type="dxa" w:w="3024"/>
            <w:shd w:val="clear" w:color="auto" w:fill="F3F4F6"/>
          </w:tcPr>
          <w:p>
            <w:r>
              <w:rPr>
                <w:rFonts w:ascii="Calibri" w:hAnsi="Calibri"/>
                <w:b w:val="0"/>
                <w:i w:val="0"/>
                <w:sz w:val="19"/>
              </w:rPr>
              <w:t>Bottleneck Cost × 15%</w:t>
            </w:r>
          </w:p>
        </w:tc>
        <w:tc>
          <w:tcPr>
            <w:tcW w:type="dxa" w:w="2736"/>
            <w:shd w:val="clear" w:color="auto" w:fill="F3F4F6"/>
          </w:tcPr>
          <w:p>
            <w:r>
              <w:rPr>
                <w:rFonts w:ascii="Calibri" w:hAnsi="Calibri"/>
                <w:b w:val="0"/>
                <w:i w:val="0"/>
                <w:sz w:val="19"/>
              </w:rPr>
              <w:t>$_____ × 0.15 = $_____</w:t>
            </w:r>
          </w:p>
        </w:tc>
      </w:tr>
      <w:tr>
        <w:tc>
          <w:tcPr>
            <w:tcW w:type="dxa" w:w="3168"/>
            <w:shd w:val="clear" w:color="auto" w:fill="FFFFFF"/>
          </w:tcPr>
          <w:p>
            <w:r>
              <w:rPr>
                <w:rFonts w:ascii="Calibri" w:hAnsi="Calibri"/>
                <w:b w:val="0"/>
                <w:i w:val="0"/>
                <w:sz w:val="19"/>
              </w:rPr>
              <w:t>Total Annual Benefit (Year 1)</w:t>
            </w:r>
          </w:p>
        </w:tc>
        <w:tc>
          <w:tcPr>
            <w:tcW w:type="dxa" w:w="3024"/>
            <w:shd w:val="clear" w:color="auto" w:fill="FFFFFF"/>
          </w:tcPr>
          <w:p>
            <w:r>
              <w:rPr>
                <w:rFonts w:ascii="Calibri" w:hAnsi="Calibri"/>
                <w:b w:val="0"/>
                <w:i w:val="0"/>
                <w:sz w:val="19"/>
              </w:rPr>
              <w:t>Sum of above</w:t>
            </w:r>
          </w:p>
        </w:tc>
        <w:tc>
          <w:tcPr>
            <w:tcW w:type="dxa" w:w="2736"/>
            <w:shd w:val="clear" w:color="auto" w:fill="FFFFFF"/>
          </w:tcPr>
          <w:p>
            <w:r>
              <w:rPr>
                <w:rFonts w:ascii="Calibri" w:hAnsi="Calibri"/>
                <w:b w:val="0"/>
                <w:i w:val="0"/>
                <w:sz w:val="19"/>
              </w:rPr>
              <w:t>$_____</w:t>
            </w:r>
          </w:p>
        </w:tc>
      </w:tr>
      <w:tr>
        <w:tc>
          <w:tcPr>
            <w:tcW w:type="dxa" w:w="3168"/>
            <w:shd w:val="clear" w:color="auto" w:fill="F3F4F6"/>
          </w:tcPr>
          <w:p>
            <w:r>
              <w:rPr>
                <w:rFonts w:ascii="Calibri" w:hAnsi="Calibri"/>
                <w:b w:val="0"/>
                <w:i w:val="0"/>
                <w:sz w:val="19"/>
              </w:rPr>
              <w:t>Investment (midpoint: $475K)</w:t>
            </w:r>
          </w:p>
        </w:tc>
        <w:tc>
          <w:tcPr>
            <w:tcW w:type="dxa" w:w="3024"/>
            <w:shd w:val="clear" w:color="auto" w:fill="F3F4F6"/>
          </w:tcPr>
          <w:p>
            <w:r>
              <w:rPr>
                <w:rFonts w:ascii="Calibri" w:hAnsi="Calibri"/>
                <w:b w:val="0"/>
                <w:i w:val="0"/>
                <w:sz w:val="19"/>
              </w:rPr>
              <w:t>$475,000</w:t>
            </w:r>
          </w:p>
        </w:tc>
        <w:tc>
          <w:tcPr>
            <w:tcW w:type="dxa" w:w="2736"/>
            <w:shd w:val="clear" w:color="auto" w:fill="F3F4F6"/>
          </w:tcPr>
          <w:p>
            <w:r>
              <w:rPr>
                <w:rFonts w:ascii="Calibri" w:hAnsi="Calibri"/>
                <w:b w:val="0"/>
                <w:i w:val="0"/>
                <w:sz w:val="19"/>
              </w:rPr>
              <w:t>$475,000</w:t>
            </w:r>
          </w:p>
        </w:tc>
      </w:tr>
      <w:tr>
        <w:tc>
          <w:tcPr>
            <w:tcW w:type="dxa" w:w="3168"/>
            <w:shd w:val="clear" w:color="auto" w:fill="FFFFFF"/>
          </w:tcPr>
          <w:p>
            <w:r>
              <w:rPr>
                <w:rFonts w:ascii="Calibri" w:hAnsi="Calibri"/>
                <w:b w:val="0"/>
                <w:i w:val="0"/>
                <w:sz w:val="19"/>
              </w:rPr>
              <w:t>Year 1 Net Benefit</w:t>
            </w:r>
          </w:p>
        </w:tc>
        <w:tc>
          <w:tcPr>
            <w:tcW w:type="dxa" w:w="3024"/>
            <w:shd w:val="clear" w:color="auto" w:fill="FFFFFF"/>
          </w:tcPr>
          <w:p>
            <w:r>
              <w:rPr>
                <w:rFonts w:ascii="Calibri" w:hAnsi="Calibri"/>
                <w:b w:val="0"/>
                <w:i w:val="0"/>
                <w:sz w:val="19"/>
              </w:rPr>
              <w:t>Benefit − Investment</w:t>
            </w:r>
          </w:p>
        </w:tc>
        <w:tc>
          <w:tcPr>
            <w:tcW w:type="dxa" w:w="2736"/>
            <w:shd w:val="clear" w:color="auto" w:fill="FFFFFF"/>
          </w:tcPr>
          <w:p>
            <w:r>
              <w:rPr>
                <w:rFonts w:ascii="Calibri" w:hAnsi="Calibri"/>
                <w:b w:val="0"/>
                <w:i w:val="0"/>
                <w:sz w:val="19"/>
              </w:rPr>
              <w:t>$_____</w:t>
            </w:r>
          </w:p>
        </w:tc>
      </w:tr>
      <w:tr>
        <w:tc>
          <w:tcPr>
            <w:tcW w:type="dxa" w:w="3168"/>
            <w:shd w:val="clear" w:color="auto" w:fill="F3F4F6"/>
          </w:tcPr>
          <w:p>
            <w:r>
              <w:rPr>
                <w:rFonts w:ascii="Calibri" w:hAnsi="Calibri"/>
                <w:b w:val="0"/>
                <w:i w:val="0"/>
                <w:sz w:val="19"/>
              </w:rPr>
              <w:t>Payback Period (months)</w:t>
            </w:r>
          </w:p>
        </w:tc>
        <w:tc>
          <w:tcPr>
            <w:tcW w:type="dxa" w:w="3024"/>
            <w:shd w:val="clear" w:color="auto" w:fill="F3F4F6"/>
          </w:tcPr>
          <w:p>
            <w:r>
              <w:rPr>
                <w:rFonts w:ascii="Calibri" w:hAnsi="Calibri"/>
                <w:b w:val="0"/>
                <w:i w:val="0"/>
                <w:sz w:val="19"/>
              </w:rPr>
              <w:t>Investment / (Benefit/12)</w:t>
            </w:r>
          </w:p>
        </w:tc>
        <w:tc>
          <w:tcPr>
            <w:tcW w:type="dxa" w:w="2736"/>
            <w:shd w:val="clear" w:color="auto" w:fill="F3F4F6"/>
          </w:tcPr>
          <w:p>
            <w:r>
              <w:rPr>
                <w:rFonts w:ascii="Calibri" w:hAnsi="Calibri"/>
                <w:b w:val="0"/>
                <w:i w:val="0"/>
                <w:sz w:val="19"/>
              </w:rPr>
              <w:t>_____ months</w:t>
            </w:r>
          </w:p>
        </w:tc>
      </w:tr>
      <w:tr>
        <w:tc>
          <w:tcPr>
            <w:tcW w:type="dxa" w:w="3168"/>
            <w:shd w:val="clear" w:color="auto" w:fill="FFFFFF"/>
          </w:tcPr>
          <w:p>
            <w:r>
              <w:rPr>
                <w:rFonts w:ascii="Calibri" w:hAnsi="Calibri"/>
                <w:b w:val="0"/>
                <w:i w:val="0"/>
                <w:sz w:val="19"/>
              </w:rPr>
              <w:t>ROI Multiple (2-year)</w:t>
            </w:r>
          </w:p>
        </w:tc>
        <w:tc>
          <w:tcPr>
            <w:tcW w:type="dxa" w:w="3024"/>
            <w:shd w:val="clear" w:color="auto" w:fill="FFFFFF"/>
          </w:tcPr>
          <w:p>
            <w:r>
              <w:rPr>
                <w:rFonts w:ascii="Calibri" w:hAnsi="Calibri"/>
                <w:b w:val="0"/>
                <w:i w:val="0"/>
                <w:sz w:val="19"/>
              </w:rPr>
              <w:t>(2-yr Benefit − Investment) / Investment</w:t>
            </w:r>
          </w:p>
        </w:tc>
        <w:tc>
          <w:tcPr>
            <w:tcW w:type="dxa" w:w="2736"/>
            <w:shd w:val="clear" w:color="auto" w:fill="FFFFFF"/>
          </w:tcPr>
          <w:p>
            <w:r>
              <w:rPr>
                <w:rFonts w:ascii="Calibri" w:hAnsi="Calibri"/>
                <w:b w:val="0"/>
                <w:i w:val="0"/>
                <w:sz w:val="19"/>
              </w:rPr>
              <w:t>_____ ×</w:t>
            </w:r>
          </w:p>
        </w:tc>
      </w:tr>
    </w:tbl>
    <w:p/>
    <w:p>
      <w:pPr>
        <w:spacing w:before="240" w:after="80"/>
      </w:pPr>
      <w:r>
        <w:rPr>
          <w:rFonts w:ascii="Calibri" w:hAnsi="Calibri"/>
          <w:b/>
          <w:i w:val="0"/>
          <w:color w:val="2563EB"/>
          <w:sz w:val="26"/>
        </w:rPr>
        <w:t>Option B ROI Worksheet — AI Agents + Human Gates ★ RECOMMENDED</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Option B: Human on the Loop | Speed +55% | Productivity +50% | Quality +35% | Investment $1.2–2M</w:t>
            </w:r>
          </w:p>
        </w:tc>
      </w:tr>
    </w:tbl>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0F2D5E"/>
          </w:tcPr>
          <w:p>
            <w:r>
              <w:rPr>
                <w:rFonts w:ascii="Calibri" w:hAnsi="Calibri"/>
                <w:b/>
                <w:i w:val="0"/>
                <w:color w:val="FFFFFF"/>
                <w:sz w:val="19"/>
              </w:rPr>
              <w:t>Item</w:t>
            </w:r>
          </w:p>
        </w:tc>
        <w:tc>
          <w:tcPr>
            <w:tcW w:type="dxa" w:w="3024"/>
            <w:shd w:val="clear" w:color="auto" w:fill="0F2D5E"/>
          </w:tcPr>
          <w:p>
            <w:r>
              <w:rPr>
                <w:rFonts w:ascii="Calibri" w:hAnsi="Calibri"/>
                <w:b/>
                <w:i w:val="0"/>
                <w:color w:val="FFFFFF"/>
                <w:sz w:val="19"/>
              </w:rPr>
              <w:t>Formula / Input</w:t>
            </w:r>
          </w:p>
        </w:tc>
        <w:tc>
          <w:tcPr>
            <w:tcW w:type="dxa" w:w="2736"/>
            <w:shd w:val="clear" w:color="auto" w:fill="0F2D5E"/>
          </w:tcPr>
          <w:p>
            <w:r>
              <w:rPr>
                <w:rFonts w:ascii="Calibri" w:hAnsi="Calibri"/>
                <w:b/>
                <w:i w:val="0"/>
                <w:color w:val="FFFFFF"/>
                <w:sz w:val="19"/>
              </w:rPr>
              <w:t>Your Calculation</w:t>
            </w:r>
          </w:p>
        </w:tc>
      </w:tr>
      <w:tr>
        <w:tc>
          <w:tcPr>
            <w:tcW w:type="dxa" w:w="3168"/>
            <w:shd w:val="clear" w:color="auto" w:fill="F3F4F6"/>
          </w:tcPr>
          <w:p>
            <w:r>
              <w:rPr>
                <w:rFonts w:ascii="Calibri" w:hAnsi="Calibri"/>
                <w:b w:val="0"/>
                <w:i w:val="0"/>
                <w:sz w:val="19"/>
              </w:rPr>
              <w:t>Speed benefit (lead time reduction)</w:t>
            </w:r>
          </w:p>
        </w:tc>
        <w:tc>
          <w:tcPr>
            <w:tcW w:type="dxa" w:w="3024"/>
            <w:shd w:val="clear" w:color="auto" w:fill="F3F4F6"/>
          </w:tcPr>
          <w:p>
            <w:r>
              <w:rPr>
                <w:rFonts w:ascii="Calibri" w:hAnsi="Calibri"/>
                <w:b w:val="0"/>
                <w:i w:val="0"/>
                <w:sz w:val="19"/>
              </w:rPr>
              <w:t>Bottleneck Cost × 55%</w:t>
            </w:r>
          </w:p>
        </w:tc>
        <w:tc>
          <w:tcPr>
            <w:tcW w:type="dxa" w:w="2736"/>
            <w:shd w:val="clear" w:color="auto" w:fill="F3F4F6"/>
          </w:tcPr>
          <w:p>
            <w:r>
              <w:rPr>
                <w:rFonts w:ascii="Calibri" w:hAnsi="Calibri"/>
                <w:b w:val="0"/>
                <w:i w:val="0"/>
                <w:sz w:val="19"/>
              </w:rPr>
              <w:t>$_____ × 0.55 = $_____</w:t>
            </w:r>
          </w:p>
        </w:tc>
      </w:tr>
      <w:tr>
        <w:tc>
          <w:tcPr>
            <w:tcW w:type="dxa" w:w="3168"/>
            <w:shd w:val="clear" w:color="auto" w:fill="FFFFFF"/>
          </w:tcPr>
          <w:p>
            <w:r>
              <w:rPr>
                <w:rFonts w:ascii="Calibri" w:hAnsi="Calibri"/>
                <w:b w:val="0"/>
                <w:i w:val="0"/>
                <w:sz w:val="19"/>
              </w:rPr>
              <w:t>Productivity benefit (throughput gain)</w:t>
            </w:r>
          </w:p>
        </w:tc>
        <w:tc>
          <w:tcPr>
            <w:tcW w:type="dxa" w:w="3024"/>
            <w:shd w:val="clear" w:color="auto" w:fill="FFFFFF"/>
          </w:tcPr>
          <w:p>
            <w:r>
              <w:rPr>
                <w:rFonts w:ascii="Calibri" w:hAnsi="Calibri"/>
                <w:b w:val="0"/>
                <w:i w:val="0"/>
                <w:sz w:val="19"/>
              </w:rPr>
              <w:t>Bottleneck Cost × 50%</w:t>
            </w:r>
          </w:p>
        </w:tc>
        <w:tc>
          <w:tcPr>
            <w:tcW w:type="dxa" w:w="2736"/>
            <w:shd w:val="clear" w:color="auto" w:fill="FFFFFF"/>
          </w:tcPr>
          <w:p>
            <w:r>
              <w:rPr>
                <w:rFonts w:ascii="Calibri" w:hAnsi="Calibri"/>
                <w:b w:val="0"/>
                <w:i w:val="0"/>
                <w:sz w:val="19"/>
              </w:rPr>
              <w:t>$_____ × 0.50 = $_____</w:t>
            </w:r>
          </w:p>
        </w:tc>
      </w:tr>
      <w:tr>
        <w:tc>
          <w:tcPr>
            <w:tcW w:type="dxa" w:w="3168"/>
            <w:shd w:val="clear" w:color="auto" w:fill="F3F4F6"/>
          </w:tcPr>
          <w:p>
            <w:r>
              <w:rPr>
                <w:rFonts w:ascii="Calibri" w:hAnsi="Calibri"/>
                <w:b w:val="0"/>
                <w:i w:val="0"/>
                <w:sz w:val="19"/>
              </w:rPr>
              <w:t>Quality benefit (rework reduction)</w:t>
            </w:r>
          </w:p>
        </w:tc>
        <w:tc>
          <w:tcPr>
            <w:tcW w:type="dxa" w:w="3024"/>
            <w:shd w:val="clear" w:color="auto" w:fill="F3F4F6"/>
          </w:tcPr>
          <w:p>
            <w:r>
              <w:rPr>
                <w:rFonts w:ascii="Calibri" w:hAnsi="Calibri"/>
                <w:b w:val="0"/>
                <w:i w:val="0"/>
                <w:sz w:val="19"/>
              </w:rPr>
              <w:t>Bottleneck Cost × 35%</w:t>
            </w:r>
          </w:p>
        </w:tc>
        <w:tc>
          <w:tcPr>
            <w:tcW w:type="dxa" w:w="2736"/>
            <w:shd w:val="clear" w:color="auto" w:fill="F3F4F6"/>
          </w:tcPr>
          <w:p>
            <w:r>
              <w:rPr>
                <w:rFonts w:ascii="Calibri" w:hAnsi="Calibri"/>
                <w:b w:val="0"/>
                <w:i w:val="0"/>
                <w:sz w:val="19"/>
              </w:rPr>
              <w:t>$_____ × 0.35 = $_____</w:t>
            </w:r>
          </w:p>
        </w:tc>
      </w:tr>
      <w:tr>
        <w:tc>
          <w:tcPr>
            <w:tcW w:type="dxa" w:w="3168"/>
            <w:shd w:val="clear" w:color="auto" w:fill="FFFFFF"/>
          </w:tcPr>
          <w:p>
            <w:r>
              <w:rPr>
                <w:rFonts w:ascii="Calibri" w:hAnsi="Calibri"/>
                <w:b w:val="0"/>
                <w:i w:val="0"/>
                <w:sz w:val="19"/>
              </w:rPr>
              <w:t>Total Annual Benefit (Year 1)</w:t>
            </w:r>
          </w:p>
        </w:tc>
        <w:tc>
          <w:tcPr>
            <w:tcW w:type="dxa" w:w="3024"/>
            <w:shd w:val="clear" w:color="auto" w:fill="FFFFFF"/>
          </w:tcPr>
          <w:p>
            <w:r>
              <w:rPr>
                <w:rFonts w:ascii="Calibri" w:hAnsi="Calibri"/>
                <w:b w:val="0"/>
                <w:i w:val="0"/>
                <w:sz w:val="19"/>
              </w:rPr>
              <w:t>Sum of above</w:t>
            </w:r>
          </w:p>
        </w:tc>
        <w:tc>
          <w:tcPr>
            <w:tcW w:type="dxa" w:w="2736"/>
            <w:shd w:val="clear" w:color="auto" w:fill="FFFFFF"/>
          </w:tcPr>
          <w:p>
            <w:r>
              <w:rPr>
                <w:rFonts w:ascii="Calibri" w:hAnsi="Calibri"/>
                <w:b w:val="0"/>
                <w:i w:val="0"/>
                <w:sz w:val="19"/>
              </w:rPr>
              <w:t>$_____</w:t>
            </w:r>
          </w:p>
        </w:tc>
      </w:tr>
      <w:tr>
        <w:tc>
          <w:tcPr>
            <w:tcW w:type="dxa" w:w="3168"/>
            <w:shd w:val="clear" w:color="auto" w:fill="F3F4F6"/>
          </w:tcPr>
          <w:p>
            <w:r>
              <w:rPr>
                <w:rFonts w:ascii="Calibri" w:hAnsi="Calibri"/>
                <w:b w:val="0"/>
                <w:i w:val="0"/>
                <w:sz w:val="19"/>
              </w:rPr>
              <w:t>Investment (midpoint: $1.6M)</w:t>
            </w:r>
          </w:p>
        </w:tc>
        <w:tc>
          <w:tcPr>
            <w:tcW w:type="dxa" w:w="3024"/>
            <w:shd w:val="clear" w:color="auto" w:fill="F3F4F6"/>
          </w:tcPr>
          <w:p>
            <w:r>
              <w:rPr>
                <w:rFonts w:ascii="Calibri" w:hAnsi="Calibri"/>
                <w:b w:val="0"/>
                <w:i w:val="0"/>
                <w:sz w:val="19"/>
              </w:rPr>
              <w:t>$1,600,000</w:t>
            </w:r>
          </w:p>
        </w:tc>
        <w:tc>
          <w:tcPr>
            <w:tcW w:type="dxa" w:w="2736"/>
            <w:shd w:val="clear" w:color="auto" w:fill="F3F4F6"/>
          </w:tcPr>
          <w:p>
            <w:r>
              <w:rPr>
                <w:rFonts w:ascii="Calibri" w:hAnsi="Calibri"/>
                <w:b w:val="0"/>
                <w:i w:val="0"/>
                <w:sz w:val="19"/>
              </w:rPr>
              <w:t>$1,600,000</w:t>
            </w:r>
          </w:p>
        </w:tc>
      </w:tr>
      <w:tr>
        <w:tc>
          <w:tcPr>
            <w:tcW w:type="dxa" w:w="3168"/>
            <w:shd w:val="clear" w:color="auto" w:fill="FFFFFF"/>
          </w:tcPr>
          <w:p>
            <w:r>
              <w:rPr>
                <w:rFonts w:ascii="Calibri" w:hAnsi="Calibri"/>
                <w:b w:val="0"/>
                <w:i w:val="0"/>
                <w:sz w:val="19"/>
              </w:rPr>
              <w:t>Year 1 Net Benefit</w:t>
            </w:r>
          </w:p>
        </w:tc>
        <w:tc>
          <w:tcPr>
            <w:tcW w:type="dxa" w:w="3024"/>
            <w:shd w:val="clear" w:color="auto" w:fill="FFFFFF"/>
          </w:tcPr>
          <w:p>
            <w:r>
              <w:rPr>
                <w:rFonts w:ascii="Calibri" w:hAnsi="Calibri"/>
                <w:b w:val="0"/>
                <w:i w:val="0"/>
                <w:sz w:val="19"/>
              </w:rPr>
              <w:t>Benefit − Investment</w:t>
            </w:r>
          </w:p>
        </w:tc>
        <w:tc>
          <w:tcPr>
            <w:tcW w:type="dxa" w:w="2736"/>
            <w:shd w:val="clear" w:color="auto" w:fill="FFFFFF"/>
          </w:tcPr>
          <w:p>
            <w:r>
              <w:rPr>
                <w:rFonts w:ascii="Calibri" w:hAnsi="Calibri"/>
                <w:b w:val="0"/>
                <w:i w:val="0"/>
                <w:sz w:val="19"/>
              </w:rPr>
              <w:t>$_____</w:t>
            </w:r>
          </w:p>
        </w:tc>
      </w:tr>
      <w:tr>
        <w:tc>
          <w:tcPr>
            <w:tcW w:type="dxa" w:w="3168"/>
            <w:shd w:val="clear" w:color="auto" w:fill="F3F4F6"/>
          </w:tcPr>
          <w:p>
            <w:r>
              <w:rPr>
                <w:rFonts w:ascii="Calibri" w:hAnsi="Calibri"/>
                <w:b w:val="0"/>
                <w:i w:val="0"/>
                <w:sz w:val="19"/>
              </w:rPr>
              <w:t>Payback Period (months)</w:t>
            </w:r>
          </w:p>
        </w:tc>
        <w:tc>
          <w:tcPr>
            <w:tcW w:type="dxa" w:w="3024"/>
            <w:shd w:val="clear" w:color="auto" w:fill="F3F4F6"/>
          </w:tcPr>
          <w:p>
            <w:r>
              <w:rPr>
                <w:rFonts w:ascii="Calibri" w:hAnsi="Calibri"/>
                <w:b w:val="0"/>
                <w:i w:val="0"/>
                <w:sz w:val="19"/>
              </w:rPr>
              <w:t>Investment / (Benefit/12)</w:t>
            </w:r>
          </w:p>
        </w:tc>
        <w:tc>
          <w:tcPr>
            <w:tcW w:type="dxa" w:w="2736"/>
            <w:shd w:val="clear" w:color="auto" w:fill="F3F4F6"/>
          </w:tcPr>
          <w:p>
            <w:r>
              <w:rPr>
                <w:rFonts w:ascii="Calibri" w:hAnsi="Calibri"/>
                <w:b w:val="0"/>
                <w:i w:val="0"/>
                <w:sz w:val="19"/>
              </w:rPr>
              <w:t>_____ months</w:t>
            </w:r>
          </w:p>
        </w:tc>
      </w:tr>
      <w:tr>
        <w:tc>
          <w:tcPr>
            <w:tcW w:type="dxa" w:w="3168"/>
            <w:shd w:val="clear" w:color="auto" w:fill="FFFFFF"/>
          </w:tcPr>
          <w:p>
            <w:r>
              <w:rPr>
                <w:rFonts w:ascii="Calibri" w:hAnsi="Calibri"/>
                <w:b w:val="0"/>
                <w:i w:val="0"/>
                <w:sz w:val="19"/>
              </w:rPr>
              <w:t>ROI Multiple (2-year)</w:t>
            </w:r>
          </w:p>
        </w:tc>
        <w:tc>
          <w:tcPr>
            <w:tcW w:type="dxa" w:w="3024"/>
            <w:shd w:val="clear" w:color="auto" w:fill="FFFFFF"/>
          </w:tcPr>
          <w:p>
            <w:r>
              <w:rPr>
                <w:rFonts w:ascii="Calibri" w:hAnsi="Calibri"/>
                <w:b w:val="0"/>
                <w:i w:val="0"/>
                <w:sz w:val="19"/>
              </w:rPr>
              <w:t>(2-yr Benefit − Investment) / Investment</w:t>
            </w:r>
          </w:p>
        </w:tc>
        <w:tc>
          <w:tcPr>
            <w:tcW w:type="dxa" w:w="2736"/>
            <w:shd w:val="clear" w:color="auto" w:fill="FFFFFF"/>
          </w:tcPr>
          <w:p>
            <w:r>
              <w:rPr>
                <w:rFonts w:ascii="Calibri" w:hAnsi="Calibri"/>
                <w:b w:val="0"/>
                <w:i w:val="0"/>
                <w:sz w:val="19"/>
              </w:rPr>
              <w:t>_____ ×</w:t>
            </w:r>
          </w:p>
        </w:tc>
      </w:tr>
    </w:tbl>
    <w:p/>
    <w:p>
      <w:pPr>
        <w:spacing w:before="240" w:after="80"/>
      </w:pPr>
      <w:r>
        <w:rPr>
          <w:rFonts w:ascii="Calibri" w:hAnsi="Calibri"/>
          <w:b/>
          <w:i w:val="0"/>
          <w:color w:val="2563EB"/>
          <w:sz w:val="26"/>
        </w:rPr>
        <w:t>Option C ROI Worksheet — Fully Agentic PDLC</w:t>
      </w:r>
    </w:p>
    <w:tbl>
      <w:tblPr>
        <w:tblStyle w:val="TableGrid"/>
        <w:tblW w:type="auto" w:w="0"/>
        <w:tblLook w:firstColumn="1" w:firstRow="1" w:lastColumn="0" w:lastRow="0" w:noHBand="0" w:noVBand="1" w:val="04A0"/>
      </w:tblPr>
      <w:tblGrid>
        <w:gridCol w:w="9360"/>
      </w:tblGrid>
      <w:tr>
        <w:tc>
          <w:tcPr>
            <w:tcW w:type="dxa" w:w="9360"/>
            <w:shd w:val="clear" w:color="auto" w:fill="F3F4F6"/>
          </w:tcPr>
          <w:p>
            <w:r>
              <w:rPr>
                <w:rFonts w:ascii="Calibri" w:hAnsi="Calibri"/>
                <w:b w:val="0"/>
                <w:i/>
                <w:color w:val="0F2D5E"/>
                <w:sz w:val="21"/>
              </w:rPr>
              <w:t>Option C: Human above the Loop | Speed +75% | Productivity +75% | Quality +60% | Investment $3–5M</w:t>
            </w:r>
          </w:p>
        </w:tc>
      </w:tr>
    </w:tbl>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0F2D5E"/>
          </w:tcPr>
          <w:p>
            <w:r>
              <w:rPr>
                <w:rFonts w:ascii="Calibri" w:hAnsi="Calibri"/>
                <w:b/>
                <w:i w:val="0"/>
                <w:color w:val="FFFFFF"/>
                <w:sz w:val="19"/>
              </w:rPr>
              <w:t>Item</w:t>
            </w:r>
          </w:p>
        </w:tc>
        <w:tc>
          <w:tcPr>
            <w:tcW w:type="dxa" w:w="3024"/>
            <w:shd w:val="clear" w:color="auto" w:fill="0F2D5E"/>
          </w:tcPr>
          <w:p>
            <w:r>
              <w:rPr>
                <w:rFonts w:ascii="Calibri" w:hAnsi="Calibri"/>
                <w:b/>
                <w:i w:val="0"/>
                <w:color w:val="FFFFFF"/>
                <w:sz w:val="19"/>
              </w:rPr>
              <w:t>Formula / Input</w:t>
            </w:r>
          </w:p>
        </w:tc>
        <w:tc>
          <w:tcPr>
            <w:tcW w:type="dxa" w:w="2736"/>
            <w:shd w:val="clear" w:color="auto" w:fill="0F2D5E"/>
          </w:tcPr>
          <w:p>
            <w:r>
              <w:rPr>
                <w:rFonts w:ascii="Calibri" w:hAnsi="Calibri"/>
                <w:b/>
                <w:i w:val="0"/>
                <w:color w:val="FFFFFF"/>
                <w:sz w:val="19"/>
              </w:rPr>
              <w:t>Your Calculation</w:t>
            </w:r>
          </w:p>
        </w:tc>
      </w:tr>
      <w:tr>
        <w:tc>
          <w:tcPr>
            <w:tcW w:type="dxa" w:w="3168"/>
            <w:shd w:val="clear" w:color="auto" w:fill="F3F4F6"/>
          </w:tcPr>
          <w:p>
            <w:r>
              <w:rPr>
                <w:rFonts w:ascii="Calibri" w:hAnsi="Calibri"/>
                <w:b w:val="0"/>
                <w:i w:val="0"/>
                <w:sz w:val="19"/>
              </w:rPr>
              <w:t>Speed benefit (lead time reduction)</w:t>
            </w:r>
          </w:p>
        </w:tc>
        <w:tc>
          <w:tcPr>
            <w:tcW w:type="dxa" w:w="3024"/>
            <w:shd w:val="clear" w:color="auto" w:fill="F3F4F6"/>
          </w:tcPr>
          <w:p>
            <w:r>
              <w:rPr>
                <w:rFonts w:ascii="Calibri" w:hAnsi="Calibri"/>
                <w:b w:val="0"/>
                <w:i w:val="0"/>
                <w:sz w:val="19"/>
              </w:rPr>
              <w:t>Bottleneck Cost × 75%</w:t>
            </w:r>
          </w:p>
        </w:tc>
        <w:tc>
          <w:tcPr>
            <w:tcW w:type="dxa" w:w="2736"/>
            <w:shd w:val="clear" w:color="auto" w:fill="F3F4F6"/>
          </w:tcPr>
          <w:p>
            <w:r>
              <w:rPr>
                <w:rFonts w:ascii="Calibri" w:hAnsi="Calibri"/>
                <w:b w:val="0"/>
                <w:i w:val="0"/>
                <w:sz w:val="19"/>
              </w:rPr>
              <w:t>$_____ × 0.75 = $_____</w:t>
            </w:r>
          </w:p>
        </w:tc>
      </w:tr>
      <w:tr>
        <w:tc>
          <w:tcPr>
            <w:tcW w:type="dxa" w:w="3168"/>
            <w:shd w:val="clear" w:color="auto" w:fill="FFFFFF"/>
          </w:tcPr>
          <w:p>
            <w:r>
              <w:rPr>
                <w:rFonts w:ascii="Calibri" w:hAnsi="Calibri"/>
                <w:b w:val="0"/>
                <w:i w:val="0"/>
                <w:sz w:val="19"/>
              </w:rPr>
              <w:t>Productivity benefit (throughput gain)</w:t>
            </w:r>
          </w:p>
        </w:tc>
        <w:tc>
          <w:tcPr>
            <w:tcW w:type="dxa" w:w="3024"/>
            <w:shd w:val="clear" w:color="auto" w:fill="FFFFFF"/>
          </w:tcPr>
          <w:p>
            <w:r>
              <w:rPr>
                <w:rFonts w:ascii="Calibri" w:hAnsi="Calibri"/>
                <w:b w:val="0"/>
                <w:i w:val="0"/>
                <w:sz w:val="19"/>
              </w:rPr>
              <w:t>Bottleneck Cost × 75%</w:t>
            </w:r>
          </w:p>
        </w:tc>
        <w:tc>
          <w:tcPr>
            <w:tcW w:type="dxa" w:w="2736"/>
            <w:shd w:val="clear" w:color="auto" w:fill="FFFFFF"/>
          </w:tcPr>
          <w:p>
            <w:r>
              <w:rPr>
                <w:rFonts w:ascii="Calibri" w:hAnsi="Calibri"/>
                <w:b w:val="0"/>
                <w:i w:val="0"/>
                <w:sz w:val="19"/>
              </w:rPr>
              <w:t>$_____ × 0.75 = $_____</w:t>
            </w:r>
          </w:p>
        </w:tc>
      </w:tr>
      <w:tr>
        <w:tc>
          <w:tcPr>
            <w:tcW w:type="dxa" w:w="3168"/>
            <w:shd w:val="clear" w:color="auto" w:fill="F3F4F6"/>
          </w:tcPr>
          <w:p>
            <w:r>
              <w:rPr>
                <w:rFonts w:ascii="Calibri" w:hAnsi="Calibri"/>
                <w:b w:val="0"/>
                <w:i w:val="0"/>
                <w:sz w:val="19"/>
              </w:rPr>
              <w:t>Quality benefit (rework reduction)</w:t>
            </w:r>
          </w:p>
        </w:tc>
        <w:tc>
          <w:tcPr>
            <w:tcW w:type="dxa" w:w="3024"/>
            <w:shd w:val="clear" w:color="auto" w:fill="F3F4F6"/>
          </w:tcPr>
          <w:p>
            <w:r>
              <w:rPr>
                <w:rFonts w:ascii="Calibri" w:hAnsi="Calibri"/>
                <w:b w:val="0"/>
                <w:i w:val="0"/>
                <w:sz w:val="19"/>
              </w:rPr>
              <w:t>Bottleneck Cost × 60%</w:t>
            </w:r>
          </w:p>
        </w:tc>
        <w:tc>
          <w:tcPr>
            <w:tcW w:type="dxa" w:w="2736"/>
            <w:shd w:val="clear" w:color="auto" w:fill="F3F4F6"/>
          </w:tcPr>
          <w:p>
            <w:r>
              <w:rPr>
                <w:rFonts w:ascii="Calibri" w:hAnsi="Calibri"/>
                <w:b w:val="0"/>
                <w:i w:val="0"/>
                <w:sz w:val="19"/>
              </w:rPr>
              <w:t>$_____ × 0.60 = $_____</w:t>
            </w:r>
          </w:p>
        </w:tc>
      </w:tr>
      <w:tr>
        <w:tc>
          <w:tcPr>
            <w:tcW w:type="dxa" w:w="3168"/>
            <w:shd w:val="clear" w:color="auto" w:fill="FFFFFF"/>
          </w:tcPr>
          <w:p>
            <w:r>
              <w:rPr>
                <w:rFonts w:ascii="Calibri" w:hAnsi="Calibri"/>
                <w:b w:val="0"/>
                <w:i w:val="0"/>
                <w:sz w:val="19"/>
              </w:rPr>
              <w:t>Total Annual Benefit (Year 1)</w:t>
            </w:r>
          </w:p>
        </w:tc>
        <w:tc>
          <w:tcPr>
            <w:tcW w:type="dxa" w:w="3024"/>
            <w:shd w:val="clear" w:color="auto" w:fill="FFFFFF"/>
          </w:tcPr>
          <w:p>
            <w:r>
              <w:rPr>
                <w:rFonts w:ascii="Calibri" w:hAnsi="Calibri"/>
                <w:b w:val="0"/>
                <w:i w:val="0"/>
                <w:sz w:val="19"/>
              </w:rPr>
              <w:t>Sum of above</w:t>
            </w:r>
          </w:p>
        </w:tc>
        <w:tc>
          <w:tcPr>
            <w:tcW w:type="dxa" w:w="2736"/>
            <w:shd w:val="clear" w:color="auto" w:fill="FFFFFF"/>
          </w:tcPr>
          <w:p>
            <w:r>
              <w:rPr>
                <w:rFonts w:ascii="Calibri" w:hAnsi="Calibri"/>
                <w:b w:val="0"/>
                <w:i w:val="0"/>
                <w:sz w:val="19"/>
              </w:rPr>
              <w:t>$_____</w:t>
            </w:r>
          </w:p>
        </w:tc>
      </w:tr>
      <w:tr>
        <w:tc>
          <w:tcPr>
            <w:tcW w:type="dxa" w:w="3168"/>
            <w:shd w:val="clear" w:color="auto" w:fill="F3F4F6"/>
          </w:tcPr>
          <w:p>
            <w:r>
              <w:rPr>
                <w:rFonts w:ascii="Calibri" w:hAnsi="Calibri"/>
                <w:b w:val="0"/>
                <w:i w:val="0"/>
                <w:sz w:val="19"/>
              </w:rPr>
              <w:t>Investment (midpoint: $4M)</w:t>
            </w:r>
          </w:p>
        </w:tc>
        <w:tc>
          <w:tcPr>
            <w:tcW w:type="dxa" w:w="3024"/>
            <w:shd w:val="clear" w:color="auto" w:fill="F3F4F6"/>
          </w:tcPr>
          <w:p>
            <w:r>
              <w:rPr>
                <w:rFonts w:ascii="Calibri" w:hAnsi="Calibri"/>
                <w:b w:val="0"/>
                <w:i w:val="0"/>
                <w:sz w:val="19"/>
              </w:rPr>
              <w:t>$4,000,000</w:t>
            </w:r>
          </w:p>
        </w:tc>
        <w:tc>
          <w:tcPr>
            <w:tcW w:type="dxa" w:w="2736"/>
            <w:shd w:val="clear" w:color="auto" w:fill="F3F4F6"/>
          </w:tcPr>
          <w:p>
            <w:r>
              <w:rPr>
                <w:rFonts w:ascii="Calibri" w:hAnsi="Calibri"/>
                <w:b w:val="0"/>
                <w:i w:val="0"/>
                <w:sz w:val="19"/>
              </w:rPr>
              <w:t>$4,000,000</w:t>
            </w:r>
          </w:p>
        </w:tc>
      </w:tr>
      <w:tr>
        <w:tc>
          <w:tcPr>
            <w:tcW w:type="dxa" w:w="3168"/>
            <w:shd w:val="clear" w:color="auto" w:fill="FFFFFF"/>
          </w:tcPr>
          <w:p>
            <w:r>
              <w:rPr>
                <w:rFonts w:ascii="Calibri" w:hAnsi="Calibri"/>
                <w:b w:val="0"/>
                <w:i w:val="0"/>
                <w:sz w:val="19"/>
              </w:rPr>
              <w:t>Year 1 Net Benefit</w:t>
            </w:r>
          </w:p>
        </w:tc>
        <w:tc>
          <w:tcPr>
            <w:tcW w:type="dxa" w:w="3024"/>
            <w:shd w:val="clear" w:color="auto" w:fill="FFFFFF"/>
          </w:tcPr>
          <w:p>
            <w:r>
              <w:rPr>
                <w:rFonts w:ascii="Calibri" w:hAnsi="Calibri"/>
                <w:b w:val="0"/>
                <w:i w:val="0"/>
                <w:sz w:val="19"/>
              </w:rPr>
              <w:t>Benefit − Investment</w:t>
            </w:r>
          </w:p>
        </w:tc>
        <w:tc>
          <w:tcPr>
            <w:tcW w:type="dxa" w:w="2736"/>
            <w:shd w:val="clear" w:color="auto" w:fill="FFFFFF"/>
          </w:tcPr>
          <w:p>
            <w:r>
              <w:rPr>
                <w:rFonts w:ascii="Calibri" w:hAnsi="Calibri"/>
                <w:b w:val="0"/>
                <w:i w:val="0"/>
                <w:sz w:val="19"/>
              </w:rPr>
              <w:t>$_____</w:t>
            </w:r>
          </w:p>
        </w:tc>
      </w:tr>
      <w:tr>
        <w:tc>
          <w:tcPr>
            <w:tcW w:type="dxa" w:w="3168"/>
            <w:shd w:val="clear" w:color="auto" w:fill="F3F4F6"/>
          </w:tcPr>
          <w:p>
            <w:r>
              <w:rPr>
                <w:rFonts w:ascii="Calibri" w:hAnsi="Calibri"/>
                <w:b w:val="0"/>
                <w:i w:val="0"/>
                <w:sz w:val="19"/>
              </w:rPr>
              <w:t>Payback Period (months)</w:t>
            </w:r>
          </w:p>
        </w:tc>
        <w:tc>
          <w:tcPr>
            <w:tcW w:type="dxa" w:w="3024"/>
            <w:shd w:val="clear" w:color="auto" w:fill="F3F4F6"/>
          </w:tcPr>
          <w:p>
            <w:r>
              <w:rPr>
                <w:rFonts w:ascii="Calibri" w:hAnsi="Calibri"/>
                <w:b w:val="0"/>
                <w:i w:val="0"/>
                <w:sz w:val="19"/>
              </w:rPr>
              <w:t>Investment / (Benefit/12)</w:t>
            </w:r>
          </w:p>
        </w:tc>
        <w:tc>
          <w:tcPr>
            <w:tcW w:type="dxa" w:w="2736"/>
            <w:shd w:val="clear" w:color="auto" w:fill="F3F4F6"/>
          </w:tcPr>
          <w:p>
            <w:r>
              <w:rPr>
                <w:rFonts w:ascii="Calibri" w:hAnsi="Calibri"/>
                <w:b w:val="0"/>
                <w:i w:val="0"/>
                <w:sz w:val="19"/>
              </w:rPr>
              <w:t>_____ months</w:t>
            </w:r>
          </w:p>
        </w:tc>
      </w:tr>
      <w:tr>
        <w:tc>
          <w:tcPr>
            <w:tcW w:type="dxa" w:w="3168"/>
            <w:shd w:val="clear" w:color="auto" w:fill="FFFFFF"/>
          </w:tcPr>
          <w:p>
            <w:r>
              <w:rPr>
                <w:rFonts w:ascii="Calibri" w:hAnsi="Calibri"/>
                <w:b w:val="0"/>
                <w:i w:val="0"/>
                <w:sz w:val="19"/>
              </w:rPr>
              <w:t>ROI Multiple (3-year)</w:t>
            </w:r>
          </w:p>
        </w:tc>
        <w:tc>
          <w:tcPr>
            <w:tcW w:type="dxa" w:w="3024"/>
            <w:shd w:val="clear" w:color="auto" w:fill="FFFFFF"/>
          </w:tcPr>
          <w:p>
            <w:r>
              <w:rPr>
                <w:rFonts w:ascii="Calibri" w:hAnsi="Calibri"/>
                <w:b w:val="0"/>
                <w:i w:val="0"/>
                <w:sz w:val="19"/>
              </w:rPr>
              <w:t>(3-yr Benefit − Investment) / Investment</w:t>
            </w:r>
          </w:p>
        </w:tc>
        <w:tc>
          <w:tcPr>
            <w:tcW w:type="dxa" w:w="2736"/>
            <w:shd w:val="clear" w:color="auto" w:fill="FFFFFF"/>
          </w:tcPr>
          <w:p>
            <w:r>
              <w:rPr>
                <w:rFonts w:ascii="Calibri" w:hAnsi="Calibri"/>
                <w:b w:val="0"/>
                <w:i w:val="0"/>
                <w:sz w:val="19"/>
              </w:rPr>
              <w:t>_____ ×</w:t>
            </w:r>
          </w:p>
        </w:tc>
      </w:tr>
    </w:tbl>
    <w:p/>
    <w:p>
      <w:pPr>
        <w:spacing w:before="60" w:after="60"/>
        <w:pBdr>
          <w:bottom w:val="single" w:sz="6" w:space="1" w:color="2563EB"/>
        </w:pBdr>
      </w:pPr>
    </w:p>
    <w:p>
      <w:pPr>
        <w:spacing w:before="400" w:after="120"/>
      </w:pPr>
      <w:r>
        <w:rPr>
          <w:rFonts w:ascii="Calibri" w:hAnsi="Calibri"/>
          <w:b/>
          <w:i w:val="0"/>
          <w:color w:val="0F2D5E"/>
          <w:sz w:val="32"/>
        </w:rPr>
        <w:t>Step 4: Worked Example — US Bank / Team Phoenix</w:t>
      </w:r>
    </w:p>
    <w:p>
      <w:pPr>
        <w:spacing w:after="80"/>
      </w:pPr>
      <w:r>
        <w:rPr>
          <w:rFonts w:ascii="Calibri" w:hAnsi="Calibri"/>
          <w:b w:val="0"/>
          <w:i w:val="0"/>
          <w:sz w:val="21"/>
        </w:rPr>
        <w:t>US Bank's Team Phoenix engaged the AI-Powered PDLC Transformation offering in Year 1. Here is how the business case was constructed — across all three options — before selecting Option B.</w:t>
      </w:r>
    </w:p>
    <w:p>
      <w:pPr>
        <w:spacing w:before="240" w:after="80"/>
      </w:pPr>
      <w:r>
        <w:rPr>
          <w:rFonts w:ascii="Calibri" w:hAnsi="Calibri"/>
          <w:b/>
          <w:i w:val="0"/>
          <w:color w:val="2563EB"/>
          <w:sz w:val="26"/>
        </w:rPr>
        <w:t>US Bank Baseline (Phase 1 Output)</w:t>
      </w:r>
    </w:p>
    <w:tbl>
      <w:tblPr>
        <w:tblStyle w:val="TableGrid"/>
        <w:tblW w:type="auto" w:w="0"/>
        <w:tblLook w:firstColumn="1" w:firstRow="1" w:lastColumn="0" w:lastRow="0" w:noHBand="0" w:noVBand="1" w:val="04A0"/>
      </w:tblPr>
      <w:tblGrid>
        <w:gridCol w:w="4680"/>
        <w:gridCol w:w="4680"/>
      </w:tblGrid>
      <w:tr>
        <w:tc>
          <w:tcPr>
            <w:tcW w:type="dxa" w:w="4320"/>
            <w:shd w:val="clear" w:color="auto" w:fill="0F2D5E"/>
          </w:tcPr>
          <w:p>
            <w:r>
              <w:rPr>
                <w:rFonts w:ascii="Calibri" w:hAnsi="Calibri"/>
                <w:b/>
                <w:i w:val="0"/>
                <w:color w:val="FFFFFF"/>
                <w:sz w:val="19"/>
              </w:rPr>
              <w:t>Metric</w:t>
            </w:r>
          </w:p>
        </w:tc>
        <w:tc>
          <w:tcPr>
            <w:tcW w:type="dxa" w:w="4608"/>
            <w:shd w:val="clear" w:color="auto" w:fill="0F2D5E"/>
          </w:tcPr>
          <w:p>
            <w:r>
              <w:rPr>
                <w:rFonts w:ascii="Calibri" w:hAnsi="Calibri"/>
                <w:b/>
                <w:i w:val="0"/>
                <w:color w:val="FFFFFF"/>
                <w:sz w:val="19"/>
              </w:rPr>
              <w:t>Measured Value</w:t>
            </w:r>
          </w:p>
        </w:tc>
      </w:tr>
      <w:tr>
        <w:tc>
          <w:tcPr>
            <w:tcW w:type="dxa" w:w="4320"/>
            <w:shd w:val="clear" w:color="auto" w:fill="F3F4F6"/>
          </w:tcPr>
          <w:p>
            <w:r>
              <w:rPr>
                <w:rFonts w:ascii="Calibri" w:hAnsi="Calibri"/>
                <w:b w:val="0"/>
                <w:i w:val="0"/>
                <w:sz w:val="19"/>
              </w:rPr>
              <w:t>Engineering FTEs</w:t>
            </w:r>
          </w:p>
        </w:tc>
        <w:tc>
          <w:tcPr>
            <w:tcW w:type="dxa" w:w="4608"/>
            <w:shd w:val="clear" w:color="auto" w:fill="F3F4F6"/>
          </w:tcPr>
          <w:p>
            <w:r>
              <w:rPr>
                <w:rFonts w:ascii="Calibri" w:hAnsi="Calibri"/>
                <w:b w:val="0"/>
                <w:i w:val="0"/>
                <w:sz w:val="19"/>
              </w:rPr>
              <w:t>180</w:t>
            </w:r>
          </w:p>
        </w:tc>
      </w:tr>
      <w:tr>
        <w:tc>
          <w:tcPr>
            <w:tcW w:type="dxa" w:w="4320"/>
            <w:shd w:val="clear" w:color="auto" w:fill="FFFFFF"/>
          </w:tcPr>
          <w:p>
            <w:r>
              <w:rPr>
                <w:rFonts w:ascii="Calibri" w:hAnsi="Calibri"/>
                <w:b w:val="0"/>
                <w:i w:val="0"/>
                <w:sz w:val="19"/>
              </w:rPr>
              <w:t>Average fully-loaded FTE cost</w:t>
            </w:r>
          </w:p>
        </w:tc>
        <w:tc>
          <w:tcPr>
            <w:tcW w:type="dxa" w:w="4608"/>
            <w:shd w:val="clear" w:color="auto" w:fill="FFFFFF"/>
          </w:tcPr>
          <w:p>
            <w:r>
              <w:rPr>
                <w:rFonts w:ascii="Calibri" w:hAnsi="Calibri"/>
                <w:b w:val="0"/>
                <w:i w:val="0"/>
                <w:sz w:val="19"/>
              </w:rPr>
              <w:t>$220,000/year</w:t>
            </w:r>
          </w:p>
        </w:tc>
      </w:tr>
      <w:tr>
        <w:tc>
          <w:tcPr>
            <w:tcW w:type="dxa" w:w="4320"/>
            <w:shd w:val="clear" w:color="auto" w:fill="F3F4F6"/>
          </w:tcPr>
          <w:p>
            <w:r>
              <w:rPr>
                <w:rFonts w:ascii="Calibri" w:hAnsi="Calibri"/>
                <w:b w:val="0"/>
                <w:i w:val="0"/>
                <w:sz w:val="19"/>
              </w:rPr>
              <w:t>Measured lead time</w:t>
            </w:r>
          </w:p>
        </w:tc>
        <w:tc>
          <w:tcPr>
            <w:tcW w:type="dxa" w:w="4608"/>
            <w:shd w:val="clear" w:color="auto" w:fill="F3F4F6"/>
          </w:tcPr>
          <w:p>
            <w:r>
              <w:rPr>
                <w:rFonts w:ascii="Calibri" w:hAnsi="Calibri"/>
                <w:b w:val="0"/>
                <w:i w:val="0"/>
                <w:sz w:val="19"/>
              </w:rPr>
              <w:t>42 business days</w:t>
            </w:r>
          </w:p>
        </w:tc>
      </w:tr>
      <w:tr>
        <w:tc>
          <w:tcPr>
            <w:tcW w:type="dxa" w:w="4320"/>
            <w:shd w:val="clear" w:color="auto" w:fill="FFFFFF"/>
          </w:tcPr>
          <w:p>
            <w:r>
              <w:rPr>
                <w:rFonts w:ascii="Calibri" w:hAnsi="Calibri"/>
                <w:b w:val="0"/>
                <w:i w:val="0"/>
                <w:sz w:val="19"/>
              </w:rPr>
              <w:t>Measured flow efficiency</w:t>
            </w:r>
          </w:p>
        </w:tc>
        <w:tc>
          <w:tcPr>
            <w:tcW w:type="dxa" w:w="4608"/>
            <w:shd w:val="clear" w:color="auto" w:fill="FFFFFF"/>
          </w:tcPr>
          <w:p>
            <w:r>
              <w:rPr>
                <w:rFonts w:ascii="Calibri" w:hAnsi="Calibri"/>
                <w:b w:val="0"/>
                <w:i w:val="0"/>
                <w:sz w:val="19"/>
              </w:rPr>
              <w:t>17.8%</w:t>
            </w:r>
          </w:p>
        </w:tc>
      </w:tr>
      <w:tr>
        <w:tc>
          <w:tcPr>
            <w:tcW w:type="dxa" w:w="4320"/>
            <w:shd w:val="clear" w:color="auto" w:fill="F3F4F6"/>
          </w:tcPr>
          <w:p>
            <w:r>
              <w:rPr>
                <w:rFonts w:ascii="Calibri" w:hAnsi="Calibri"/>
                <w:b w:val="0"/>
                <w:i w:val="0"/>
                <w:sz w:val="19"/>
              </w:rPr>
              <w:t>Measured rework as % of sprint</w:t>
            </w:r>
          </w:p>
        </w:tc>
        <w:tc>
          <w:tcPr>
            <w:tcW w:type="dxa" w:w="4608"/>
            <w:shd w:val="clear" w:color="auto" w:fill="F3F4F6"/>
          </w:tcPr>
          <w:p>
            <w:r>
              <w:rPr>
                <w:rFonts w:ascii="Calibri" w:hAnsi="Calibri"/>
                <w:b w:val="0"/>
                <w:i w:val="0"/>
                <w:sz w:val="19"/>
              </w:rPr>
              <w:t>24%</w:t>
            </w:r>
          </w:p>
        </w:tc>
      </w:tr>
      <w:tr>
        <w:tc>
          <w:tcPr>
            <w:tcW w:type="dxa" w:w="4320"/>
            <w:shd w:val="clear" w:color="auto" w:fill="FFFFFF"/>
          </w:tcPr>
          <w:p>
            <w:r>
              <w:rPr>
                <w:rFonts w:ascii="Calibri" w:hAnsi="Calibri"/>
                <w:b w:val="0"/>
                <w:i w:val="0"/>
                <w:sz w:val="19"/>
              </w:rPr>
              <w:t>Monthly revenue at risk</w:t>
            </w:r>
          </w:p>
        </w:tc>
        <w:tc>
          <w:tcPr>
            <w:tcW w:type="dxa" w:w="4608"/>
            <w:shd w:val="clear" w:color="auto" w:fill="FFFFFF"/>
          </w:tcPr>
          <w:p>
            <w:r>
              <w:rPr>
                <w:rFonts w:ascii="Calibri" w:hAnsi="Calibri"/>
                <w:b w:val="0"/>
                <w:i w:val="0"/>
                <w:sz w:val="19"/>
              </w:rPr>
              <w:t>$3.2M</w:t>
            </w:r>
          </w:p>
        </w:tc>
      </w:tr>
      <w:tr>
        <w:tc>
          <w:tcPr>
            <w:tcW w:type="dxa" w:w="4320"/>
            <w:shd w:val="clear" w:color="auto" w:fill="F3F4F6"/>
          </w:tcPr>
          <w:p>
            <w:r>
              <w:rPr>
                <w:rFonts w:ascii="Calibri" w:hAnsi="Calibri"/>
                <w:b w:val="0"/>
                <w:i w:val="0"/>
                <w:sz w:val="19"/>
              </w:rPr>
              <w:t>Average feature delay</w:t>
            </w:r>
          </w:p>
        </w:tc>
        <w:tc>
          <w:tcPr>
            <w:tcW w:type="dxa" w:w="4608"/>
            <w:shd w:val="clear" w:color="auto" w:fill="F3F4F6"/>
          </w:tcPr>
          <w:p>
            <w:r>
              <w:rPr>
                <w:rFonts w:ascii="Calibri" w:hAnsi="Calibri"/>
                <w:b w:val="0"/>
                <w:i w:val="0"/>
                <w:sz w:val="19"/>
              </w:rPr>
              <w:t>3.5 weeks</w:t>
            </w:r>
          </w:p>
        </w:tc>
      </w:tr>
    </w:tbl>
    <w:p/>
    <w:p>
      <w:pPr>
        <w:spacing w:before="240" w:after="80"/>
      </w:pPr>
      <w:r>
        <w:rPr>
          <w:rFonts w:ascii="Calibri" w:hAnsi="Calibri"/>
          <w:b/>
          <w:i w:val="0"/>
          <w:color w:val="2563EB"/>
          <w:sz w:val="26"/>
        </w:rPr>
        <w:t>US Bank Bottleneck Cost Calculation</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0F2D5E"/>
          </w:tcPr>
          <w:p>
            <w:r>
              <w:rPr>
                <w:rFonts w:ascii="Calibri" w:hAnsi="Calibri"/>
                <w:b/>
                <w:i w:val="0"/>
                <w:color w:val="FFFFFF"/>
                <w:sz w:val="19"/>
              </w:rPr>
              <w:t>Component</w:t>
            </w:r>
          </w:p>
        </w:tc>
        <w:tc>
          <w:tcPr>
            <w:tcW w:type="dxa" w:w="3456"/>
            <w:shd w:val="clear" w:color="auto" w:fill="0F2D5E"/>
          </w:tcPr>
          <w:p>
            <w:r>
              <w:rPr>
                <w:rFonts w:ascii="Calibri" w:hAnsi="Calibri"/>
                <w:b/>
                <w:i w:val="0"/>
                <w:color w:val="FFFFFF"/>
                <w:sz w:val="19"/>
              </w:rPr>
              <w:t>Calculation</w:t>
            </w:r>
          </w:p>
        </w:tc>
        <w:tc>
          <w:tcPr>
            <w:tcW w:type="dxa" w:w="2304"/>
            <w:shd w:val="clear" w:color="auto" w:fill="0F2D5E"/>
          </w:tcPr>
          <w:p>
            <w:r>
              <w:rPr>
                <w:rFonts w:ascii="Calibri" w:hAnsi="Calibri"/>
                <w:b/>
                <w:i w:val="0"/>
                <w:color w:val="FFFFFF"/>
                <w:sz w:val="19"/>
              </w:rPr>
              <w:t>Amount</w:t>
            </w:r>
          </w:p>
        </w:tc>
      </w:tr>
      <w:tr>
        <w:tc>
          <w:tcPr>
            <w:tcW w:type="dxa" w:w="3168"/>
            <w:shd w:val="clear" w:color="auto" w:fill="F3F4F6"/>
          </w:tcPr>
          <w:p>
            <w:r>
              <w:rPr>
                <w:rFonts w:ascii="Calibri" w:hAnsi="Calibri"/>
                <w:b w:val="0"/>
                <w:i w:val="0"/>
                <w:sz w:val="19"/>
              </w:rPr>
              <w:t>Engineering Waste Cost</w:t>
            </w:r>
          </w:p>
        </w:tc>
        <w:tc>
          <w:tcPr>
            <w:tcW w:type="dxa" w:w="3456"/>
            <w:shd w:val="clear" w:color="auto" w:fill="F3F4F6"/>
          </w:tcPr>
          <w:p>
            <w:r>
              <w:rPr>
                <w:rFonts w:ascii="Calibri" w:hAnsi="Calibri"/>
                <w:b w:val="0"/>
                <w:i w:val="0"/>
                <w:sz w:val="19"/>
              </w:rPr>
              <w:t>180 × $220K × (1 − 17.8%)</w:t>
            </w:r>
          </w:p>
        </w:tc>
        <w:tc>
          <w:tcPr>
            <w:tcW w:type="dxa" w:w="2304"/>
            <w:shd w:val="clear" w:color="auto" w:fill="F3F4F6"/>
          </w:tcPr>
          <w:p>
            <w:r>
              <w:rPr>
                <w:rFonts w:ascii="Calibri" w:hAnsi="Calibri"/>
                <w:b w:val="0"/>
                <w:i w:val="0"/>
                <w:sz w:val="19"/>
              </w:rPr>
              <w:t>$32.5M × 82.2% = $4.2M/yr</w:t>
            </w:r>
          </w:p>
        </w:tc>
      </w:tr>
      <w:tr>
        <w:tc>
          <w:tcPr>
            <w:tcW w:type="dxa" w:w="3168"/>
            <w:shd w:val="clear" w:color="auto" w:fill="FFFFFF"/>
          </w:tcPr>
          <w:p>
            <w:r>
              <w:rPr>
                <w:rFonts w:ascii="Calibri" w:hAnsi="Calibri"/>
                <w:b w:val="0"/>
                <w:i w:val="0"/>
                <w:sz w:val="19"/>
              </w:rPr>
              <w:t>Rework Cost</w:t>
            </w:r>
          </w:p>
        </w:tc>
        <w:tc>
          <w:tcPr>
            <w:tcW w:type="dxa" w:w="3456"/>
            <w:shd w:val="clear" w:color="auto" w:fill="FFFFFF"/>
          </w:tcPr>
          <w:p>
            <w:r>
              <w:rPr>
                <w:rFonts w:ascii="Calibri" w:hAnsi="Calibri"/>
                <w:b w:val="0"/>
                <w:i w:val="0"/>
                <w:sz w:val="19"/>
              </w:rPr>
              <w:t>180 × $220K × 24%</w:t>
            </w:r>
          </w:p>
        </w:tc>
        <w:tc>
          <w:tcPr>
            <w:tcW w:type="dxa" w:w="2304"/>
            <w:shd w:val="clear" w:color="auto" w:fill="FFFFFF"/>
          </w:tcPr>
          <w:p>
            <w:r>
              <w:rPr>
                <w:rFonts w:ascii="Calibri" w:hAnsi="Calibri"/>
                <w:b w:val="0"/>
                <w:i w:val="0"/>
                <w:sz w:val="19"/>
              </w:rPr>
              <w:t>$9.5M/yr</w:t>
            </w:r>
          </w:p>
        </w:tc>
      </w:tr>
      <w:tr>
        <w:tc>
          <w:tcPr>
            <w:tcW w:type="dxa" w:w="3168"/>
            <w:shd w:val="clear" w:color="auto" w:fill="F3F4F6"/>
          </w:tcPr>
          <w:p>
            <w:r>
              <w:rPr>
                <w:rFonts w:ascii="Calibri" w:hAnsi="Calibri"/>
                <w:b w:val="0"/>
                <w:i w:val="0"/>
                <w:sz w:val="19"/>
              </w:rPr>
              <w:t>Revenue Delay Cost</w:t>
            </w:r>
          </w:p>
        </w:tc>
        <w:tc>
          <w:tcPr>
            <w:tcW w:type="dxa" w:w="3456"/>
            <w:shd w:val="clear" w:color="auto" w:fill="F3F4F6"/>
          </w:tcPr>
          <w:p>
            <w:r>
              <w:rPr>
                <w:rFonts w:ascii="Calibri" w:hAnsi="Calibri"/>
                <w:b w:val="0"/>
                <w:i w:val="0"/>
                <w:sz w:val="19"/>
              </w:rPr>
              <w:t>($3.2M × 3.5 / 52) × 12</w:t>
            </w:r>
          </w:p>
        </w:tc>
        <w:tc>
          <w:tcPr>
            <w:tcW w:type="dxa" w:w="2304"/>
            <w:shd w:val="clear" w:color="auto" w:fill="F3F4F6"/>
          </w:tcPr>
          <w:p>
            <w:r>
              <w:rPr>
                <w:rFonts w:ascii="Calibri" w:hAnsi="Calibri"/>
                <w:b w:val="0"/>
                <w:i w:val="0"/>
                <w:sz w:val="19"/>
              </w:rPr>
              <w:t>$2.6M/yr</w:t>
            </w:r>
          </w:p>
        </w:tc>
      </w:tr>
      <w:tr>
        <w:tc>
          <w:tcPr>
            <w:tcW w:type="dxa" w:w="3168"/>
            <w:shd w:val="clear" w:color="auto" w:fill="FFFFFF"/>
          </w:tcPr>
          <w:p>
            <w:r>
              <w:rPr>
                <w:rFonts w:ascii="Calibri" w:hAnsi="Calibri"/>
                <w:b w:val="0"/>
                <w:i w:val="0"/>
                <w:sz w:val="19"/>
              </w:rPr>
              <w:t>TOTAL ANNUAL BOTTLENECK COST</w:t>
            </w:r>
          </w:p>
        </w:tc>
        <w:tc>
          <w:tcPr>
            <w:tcW w:type="dxa" w:w="3456"/>
            <w:shd w:val="clear" w:color="auto" w:fill="FFFFFF"/>
          </w:tcPr>
          <w:p>
            <w:r>
              <w:rPr>
                <w:rFonts w:ascii="Calibri" w:hAnsi="Calibri"/>
                <w:b w:val="0"/>
                <w:i w:val="0"/>
                <w:sz w:val="19"/>
              </w:rPr>
            </w:r>
          </w:p>
        </w:tc>
        <w:tc>
          <w:tcPr>
            <w:tcW w:type="dxa" w:w="2304"/>
            <w:shd w:val="clear" w:color="auto" w:fill="FFFFFF"/>
          </w:tcPr>
          <w:p>
            <w:r>
              <w:rPr>
                <w:rFonts w:ascii="Calibri" w:hAnsi="Calibri"/>
                <w:b w:val="0"/>
                <w:i w:val="0"/>
                <w:sz w:val="19"/>
              </w:rPr>
              <w:t>$16.3M/yr (est.)</w:t>
            </w:r>
          </w:p>
        </w:tc>
      </w:tr>
    </w:tbl>
    <w:p/>
    <w:p>
      <w:pPr>
        <w:spacing w:before="240" w:after="80"/>
      </w:pPr>
      <w:r>
        <w:rPr>
          <w:rFonts w:ascii="Calibri" w:hAnsi="Calibri"/>
          <w:b/>
          <w:i w:val="0"/>
          <w:color w:val="2563EB"/>
          <w:sz w:val="26"/>
        </w:rPr>
        <w:t>US Bank Option Comparison (Pre-Selection)</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F2D5E"/>
          </w:tcPr>
          <w:p>
            <w:r>
              <w:rPr>
                <w:rFonts w:ascii="Calibri" w:hAnsi="Calibri"/>
                <w:b/>
                <w:i w:val="0"/>
                <w:color w:val="FFFFFF"/>
                <w:sz w:val="19"/>
              </w:rPr>
            </w:r>
          </w:p>
        </w:tc>
        <w:tc>
          <w:tcPr>
            <w:tcW w:type="dxa" w:w="2160"/>
            <w:shd w:val="clear" w:color="auto" w:fill="0F2D5E"/>
          </w:tcPr>
          <w:p>
            <w:r>
              <w:rPr>
                <w:rFonts w:ascii="Calibri" w:hAnsi="Calibri"/>
                <w:b/>
                <w:i w:val="0"/>
                <w:color w:val="FFFFFF"/>
                <w:sz w:val="19"/>
              </w:rPr>
              <w:t>Option A</w:t>
            </w:r>
          </w:p>
        </w:tc>
        <w:tc>
          <w:tcPr>
            <w:tcW w:type="dxa" w:w="2592"/>
            <w:shd w:val="clear" w:color="auto" w:fill="0F2D5E"/>
          </w:tcPr>
          <w:p>
            <w:r>
              <w:rPr>
                <w:rFonts w:ascii="Calibri" w:hAnsi="Calibri"/>
                <w:b/>
                <w:i w:val="0"/>
                <w:color w:val="FFFFFF"/>
                <w:sz w:val="19"/>
              </w:rPr>
              <w:t>Option B ★ Selected</w:t>
            </w:r>
          </w:p>
        </w:tc>
        <w:tc>
          <w:tcPr>
            <w:tcW w:type="dxa" w:w="2160"/>
            <w:shd w:val="clear" w:color="auto" w:fill="0F2D5E"/>
          </w:tcPr>
          <w:p>
            <w:r>
              <w:rPr>
                <w:rFonts w:ascii="Calibri" w:hAnsi="Calibri"/>
                <w:b/>
                <w:i w:val="0"/>
                <w:color w:val="FFFFFF"/>
                <w:sz w:val="19"/>
              </w:rPr>
              <w:t>Option C</w:t>
            </w:r>
          </w:p>
        </w:tc>
      </w:tr>
      <w:tr>
        <w:tc>
          <w:tcPr>
            <w:tcW w:type="dxa" w:w="2592"/>
            <w:shd w:val="clear" w:color="auto" w:fill="F3F4F6"/>
          </w:tcPr>
          <w:p>
            <w:r>
              <w:rPr>
                <w:rFonts w:ascii="Calibri" w:hAnsi="Calibri"/>
                <w:b w:val="0"/>
                <w:i w:val="0"/>
                <w:sz w:val="19"/>
              </w:rPr>
              <w:t>Investment</w:t>
            </w:r>
          </w:p>
        </w:tc>
        <w:tc>
          <w:tcPr>
            <w:tcW w:type="dxa" w:w="2160"/>
            <w:shd w:val="clear" w:color="auto" w:fill="F3F4F6"/>
          </w:tcPr>
          <w:p>
            <w:r>
              <w:rPr>
                <w:rFonts w:ascii="Calibri" w:hAnsi="Calibri"/>
                <w:b w:val="0"/>
                <w:i w:val="0"/>
                <w:sz w:val="19"/>
              </w:rPr>
              <w:t>$475K</w:t>
            </w:r>
          </w:p>
        </w:tc>
        <w:tc>
          <w:tcPr>
            <w:tcW w:type="dxa" w:w="2592"/>
            <w:shd w:val="clear" w:color="auto" w:fill="F3F4F6"/>
          </w:tcPr>
          <w:p>
            <w:r>
              <w:rPr>
                <w:rFonts w:ascii="Calibri" w:hAnsi="Calibri"/>
                <w:b w:val="0"/>
                <w:i w:val="0"/>
                <w:sz w:val="19"/>
              </w:rPr>
              <w:t>$1.6M</w:t>
            </w:r>
          </w:p>
        </w:tc>
        <w:tc>
          <w:tcPr>
            <w:tcW w:type="dxa" w:w="2160"/>
            <w:shd w:val="clear" w:color="auto" w:fill="F3F4F6"/>
          </w:tcPr>
          <w:p>
            <w:r>
              <w:rPr>
                <w:rFonts w:ascii="Calibri" w:hAnsi="Calibri"/>
                <w:b w:val="0"/>
                <w:i w:val="0"/>
                <w:sz w:val="19"/>
              </w:rPr>
              <w:t>$4M</w:t>
            </w:r>
          </w:p>
        </w:tc>
      </w:tr>
      <w:tr>
        <w:tc>
          <w:tcPr>
            <w:tcW w:type="dxa" w:w="2592"/>
            <w:shd w:val="clear" w:color="auto" w:fill="FFFFFF"/>
          </w:tcPr>
          <w:p>
            <w:r>
              <w:rPr>
                <w:rFonts w:ascii="Calibri" w:hAnsi="Calibri"/>
                <w:b w:val="0"/>
                <w:i w:val="0"/>
                <w:sz w:val="19"/>
              </w:rPr>
              <w:t>Annual Benefit Estimate</w:t>
            </w:r>
          </w:p>
        </w:tc>
        <w:tc>
          <w:tcPr>
            <w:tcW w:type="dxa" w:w="2160"/>
            <w:shd w:val="clear" w:color="auto" w:fill="FFFFFF"/>
          </w:tcPr>
          <w:p>
            <w:r>
              <w:rPr>
                <w:rFonts w:ascii="Calibri" w:hAnsi="Calibri"/>
                <w:b w:val="0"/>
                <w:i w:val="0"/>
                <w:sz w:val="19"/>
              </w:rPr>
              <w:t>$2.1M</w:t>
            </w:r>
          </w:p>
        </w:tc>
        <w:tc>
          <w:tcPr>
            <w:tcW w:type="dxa" w:w="2592"/>
            <w:shd w:val="clear" w:color="auto" w:fill="FFFFFF"/>
          </w:tcPr>
          <w:p>
            <w:r>
              <w:rPr>
                <w:rFonts w:ascii="Calibri" w:hAnsi="Calibri"/>
                <w:b w:val="0"/>
                <w:i w:val="0"/>
                <w:sz w:val="19"/>
              </w:rPr>
              <w:t>$6.5M</w:t>
            </w:r>
          </w:p>
        </w:tc>
        <w:tc>
          <w:tcPr>
            <w:tcW w:type="dxa" w:w="2160"/>
            <w:shd w:val="clear" w:color="auto" w:fill="FFFFFF"/>
          </w:tcPr>
          <w:p>
            <w:r>
              <w:rPr>
                <w:rFonts w:ascii="Calibri" w:hAnsi="Calibri"/>
                <w:b w:val="0"/>
                <w:i w:val="0"/>
                <w:sz w:val="19"/>
              </w:rPr>
              <w:t>$9.8M</w:t>
            </w:r>
          </w:p>
        </w:tc>
      </w:tr>
      <w:tr>
        <w:tc>
          <w:tcPr>
            <w:tcW w:type="dxa" w:w="2592"/>
            <w:shd w:val="clear" w:color="auto" w:fill="F3F4F6"/>
          </w:tcPr>
          <w:p>
            <w:r>
              <w:rPr>
                <w:rFonts w:ascii="Calibri" w:hAnsi="Calibri"/>
                <w:b w:val="0"/>
                <w:i w:val="0"/>
                <w:sz w:val="19"/>
              </w:rPr>
              <w:t>Payback (months)</w:t>
            </w:r>
          </w:p>
        </w:tc>
        <w:tc>
          <w:tcPr>
            <w:tcW w:type="dxa" w:w="2160"/>
            <w:shd w:val="clear" w:color="auto" w:fill="F3F4F6"/>
          </w:tcPr>
          <w:p>
            <w:r>
              <w:rPr>
                <w:rFonts w:ascii="Calibri" w:hAnsi="Calibri"/>
                <w:b w:val="0"/>
                <w:i w:val="0"/>
                <w:sz w:val="19"/>
              </w:rPr>
              <w:t>27</w:t>
            </w:r>
          </w:p>
        </w:tc>
        <w:tc>
          <w:tcPr>
            <w:tcW w:type="dxa" w:w="2592"/>
            <w:shd w:val="clear" w:color="auto" w:fill="F3F4F6"/>
          </w:tcPr>
          <w:p>
            <w:r>
              <w:rPr>
                <w:rFonts w:ascii="Calibri" w:hAnsi="Calibri"/>
                <w:b w:val="0"/>
                <w:i w:val="0"/>
                <w:sz w:val="19"/>
              </w:rPr>
              <w:t>14</w:t>
            </w:r>
          </w:p>
        </w:tc>
        <w:tc>
          <w:tcPr>
            <w:tcW w:type="dxa" w:w="2160"/>
            <w:shd w:val="clear" w:color="auto" w:fill="F3F4F6"/>
          </w:tcPr>
          <w:p>
            <w:r>
              <w:rPr>
                <w:rFonts w:ascii="Calibri" w:hAnsi="Calibri"/>
                <w:b w:val="0"/>
                <w:i w:val="0"/>
                <w:sz w:val="19"/>
              </w:rPr>
              <w:t>22</w:t>
            </w:r>
          </w:p>
        </w:tc>
      </w:tr>
      <w:tr>
        <w:tc>
          <w:tcPr>
            <w:tcW w:type="dxa" w:w="2592"/>
            <w:shd w:val="clear" w:color="auto" w:fill="FFFFFF"/>
          </w:tcPr>
          <w:p>
            <w:r>
              <w:rPr>
                <w:rFonts w:ascii="Calibri" w:hAnsi="Calibri"/>
                <w:b w:val="0"/>
                <w:i w:val="0"/>
                <w:sz w:val="19"/>
              </w:rPr>
              <w:t>2-Year ROI</w:t>
            </w:r>
          </w:p>
        </w:tc>
        <w:tc>
          <w:tcPr>
            <w:tcW w:type="dxa" w:w="2160"/>
            <w:shd w:val="clear" w:color="auto" w:fill="FFFFFF"/>
          </w:tcPr>
          <w:p>
            <w:r>
              <w:rPr>
                <w:rFonts w:ascii="Calibri" w:hAnsi="Calibri"/>
                <w:b w:val="0"/>
                <w:i w:val="0"/>
                <w:sz w:val="19"/>
              </w:rPr>
              <w:t>3.4×</w:t>
            </w:r>
          </w:p>
        </w:tc>
        <w:tc>
          <w:tcPr>
            <w:tcW w:type="dxa" w:w="2592"/>
            <w:shd w:val="clear" w:color="auto" w:fill="FFFFFF"/>
          </w:tcPr>
          <w:p>
            <w:r>
              <w:rPr>
                <w:rFonts w:ascii="Calibri" w:hAnsi="Calibri"/>
                <w:b w:val="0"/>
                <w:i w:val="0"/>
                <w:sz w:val="19"/>
              </w:rPr>
              <w:t>6.1×</w:t>
            </w:r>
          </w:p>
        </w:tc>
        <w:tc>
          <w:tcPr>
            <w:tcW w:type="dxa" w:w="2160"/>
            <w:shd w:val="clear" w:color="auto" w:fill="FFFFFF"/>
          </w:tcPr>
          <w:p>
            <w:r>
              <w:rPr>
                <w:rFonts w:ascii="Calibri" w:hAnsi="Calibri"/>
                <w:b w:val="0"/>
                <w:i w:val="0"/>
                <w:sz w:val="19"/>
              </w:rPr>
              <w:t>3.9×</w:t>
            </w:r>
          </w:p>
        </w:tc>
      </w:tr>
    </w:tbl>
    <w:p/>
    <w:p>
      <w:pPr>
        <w:spacing w:after="80"/>
      </w:pPr>
      <w:r>
        <w:rPr>
          <w:rFonts w:ascii="Calibri" w:hAnsi="Calibri"/>
          <w:b w:val="0"/>
          <w:i w:val="0"/>
          <w:sz w:val="21"/>
        </w:rPr>
        <w:t>Option B was selected because it delivered the strongest 2-year ROI (6.1×) at a manageable investment level, with a governance model that matched US Bank's risk appetite. Actual measured results: $8.4M/year benefit, 4.2× ROI, 14-month payback, $31.2M 5-year NPV.</w:t>
      </w:r>
    </w:p>
    <w:p>
      <w:pPr>
        <w:spacing w:before="60" w:after="60"/>
        <w:pBdr>
          <w:bottom w:val="single" w:sz="6" w:space="1" w:color="2563EB"/>
        </w:pBdr>
      </w:pPr>
    </w:p>
    <w:p>
      <w:pPr>
        <w:spacing w:before="400" w:after="120"/>
      </w:pPr>
      <w:r>
        <w:rPr>
          <w:rFonts w:ascii="Calibri" w:hAnsi="Calibri"/>
          <w:b/>
          <w:i w:val="0"/>
          <w:color w:val="0F2D5E"/>
          <w:sz w:val="32"/>
        </w:rPr>
        <w:t>How the Platform Accelerates Step 1 (The Diagnosis)</w:t>
      </w:r>
    </w:p>
    <w:p>
      <w:pPr>
        <w:spacing w:after="80"/>
      </w:pPr>
      <w:r>
        <w:rPr>
          <w:rFonts w:ascii="Calibri" w:hAnsi="Calibri"/>
          <w:b w:val="0"/>
          <w:i w:val="0"/>
          <w:sz w:val="21"/>
        </w:rPr>
        <w:t>The numbers in this guide are estimates. Phase 1 Diagnose replaces every estimate with a measured value, derived from your actual ALM data. The STUMP makes this possible in 2 weeks instead of 3 months.</w:t>
      </w:r>
    </w:p>
    <w:p>
      <w:pPr>
        <w:pStyle w:val="ListBullet"/>
        <w:spacing w:after="40"/>
        <w:ind w:left="432"/>
      </w:pPr>
      <w:r>
        <w:rPr>
          <w:rFonts w:ascii="Calibri" w:hAnsi="Calibri"/>
          <w:b w:val="0"/>
          <w:i w:val="0"/>
          <w:sz w:val="21"/>
        </w:rPr>
        <w:t>Lead time: extracted directly from Jira, Azure DevOps, or Rally — no surveys, no self-report</w:t>
      </w:r>
    </w:p>
    <w:p>
      <w:pPr>
        <w:pStyle w:val="ListBullet"/>
        <w:spacing w:after="40"/>
        <w:ind w:left="432"/>
      </w:pPr>
      <w:r>
        <w:rPr>
          <w:rFonts w:ascii="Calibri" w:hAnsi="Calibri"/>
          <w:b w:val="0"/>
          <w:i w:val="0"/>
          <w:sz w:val="21"/>
        </w:rPr>
        <w:t>Flow efficiency: calculated from ticket timestamps across every process step</w:t>
      </w:r>
    </w:p>
    <w:p>
      <w:pPr>
        <w:pStyle w:val="ListBullet"/>
        <w:spacing w:after="40"/>
        <w:ind w:left="432"/>
      </w:pPr>
      <w:r>
        <w:rPr>
          <w:rFonts w:ascii="Calibri" w:hAnsi="Calibri"/>
          <w:b w:val="0"/>
          <w:i w:val="0"/>
          <w:sz w:val="21"/>
        </w:rPr>
        <w:t>Rework rate: identified from defect re-open patterns and sprint carry-over data</w:t>
      </w:r>
    </w:p>
    <w:p>
      <w:pPr>
        <w:pStyle w:val="ListBullet"/>
        <w:spacing w:after="40"/>
        <w:ind w:left="432"/>
      </w:pPr>
      <w:r>
        <w:rPr>
          <w:rFonts w:ascii="Calibri" w:hAnsi="Calibri"/>
          <w:b w:val="0"/>
          <w:i w:val="0"/>
          <w:sz w:val="21"/>
        </w:rPr>
        <w:t>Revenue delay: modelled from release calendar and product revenue attribution</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The diagnosis is not a cost — it is an investment that replaces guesswork with evidence. Every dollar of Phase 1 investment reduces the risk of misallocating the 10–100× larger Phase 3 programme budget.</w:t>
            </w:r>
          </w:p>
        </w:tc>
      </w:tr>
    </w:tbl>
    <w:p/>
    <w:p>
      <w:pPr>
        <w:spacing w:before="400" w:after="120"/>
      </w:pPr>
      <w:r>
        <w:rPr>
          <w:rFonts w:ascii="Calibri" w:hAnsi="Calibri"/>
          <w:b/>
          <w:i w:val="0"/>
          <w:color w:val="0F2D5E"/>
          <w:sz w:val="32"/>
        </w:rPr>
        <w:t>DORA J-Curve Worksheet (cost-only) — the refined model</w:t>
      </w:r>
    </w:p>
    <w:p>
      <w:pPr>
        <w:spacing w:after="80"/>
      </w:pPr>
      <w:r>
        <w:rPr>
          <w:rFonts w:ascii="Calibri" w:hAnsi="Calibri"/>
          <w:b w:val="0"/>
          <w:i w:val="0"/>
          <w:sz w:val="21"/>
        </w:rPr>
        <w:t>Flat ROI multiples are useful headlines, but the defensible business case is a J-Curve. Investment first, a J-Curve dip, then net savings that grow sprint-on-sprint and cross breakeven.</w:t>
      </w:r>
    </w:p>
    <w:p>
      <w:pPr>
        <w:spacing w:before="240" w:after="80"/>
      </w:pPr>
      <w:r>
        <w:rPr>
          <w:rFonts w:ascii="Calibri" w:hAnsi="Calibri"/>
          <w:b/>
          <w:i w:val="0"/>
          <w:color w:val="2563EB"/>
          <w:sz w:val="26"/>
        </w:rPr>
        <w:t>Step 1 — Investment (hard costs)</w:t>
      </w:r>
    </w:p>
    <w:p>
      <w:pPr>
        <w:spacing w:after="80"/>
      </w:pPr>
      <w:r>
        <w:rPr>
          <w:rFonts w:ascii="Calibri" w:hAnsi="Calibri"/>
          <w:b w:val="0"/>
          <w:i w:val="0"/>
          <w:sz w:val="21"/>
        </w:rPr>
        <w:t>Hard cost = (licence + agent/token usage + training + infra) × staff;  J-Curve cost = staff × salary × productivity-drop% × duration</w:t>
      </w:r>
    </w:p>
    <w:p>
      <w:pPr>
        <w:pStyle w:val="ListBullet"/>
        <w:spacing w:after="40"/>
        <w:ind w:left="432"/>
      </w:pPr>
      <w:r>
        <w:rPr>
          <w:rFonts w:ascii="Calibri" w:hAnsi="Calibri"/>
          <w:b/>
          <w:i w:val="0"/>
          <w:sz w:val="21"/>
        </w:rPr>
        <w:t xml:space="preserve">Direct hard cost: </w:t>
      </w:r>
      <w:r>
        <w:rPr>
          <w:rFonts w:ascii="Calibri" w:hAnsi="Calibri"/>
          <w:b w:val="0"/>
          <w:i w:val="0"/>
          <w:sz w:val="21"/>
        </w:rPr>
        <w:t>Licences + agent/token usage + enablement/training + AI infrastructure, × staff.</w:t>
      </w:r>
    </w:p>
    <w:p>
      <w:pPr>
        <w:pStyle w:val="ListBullet"/>
        <w:spacing w:after="40"/>
        <w:ind w:left="432"/>
      </w:pPr>
      <w:r>
        <w:rPr>
          <w:rFonts w:ascii="Calibri" w:hAnsi="Calibri"/>
          <w:b/>
          <w:i w:val="0"/>
          <w:sz w:val="21"/>
        </w:rPr>
        <w:t xml:space="preserve">J-Curve tuition cost: </w:t>
      </w:r>
      <w:r>
        <w:rPr>
          <w:rFonts w:ascii="Calibri" w:hAnsi="Calibri"/>
          <w:b w:val="0"/>
          <w:i w:val="0"/>
          <w:sz w:val="21"/>
        </w:rPr>
        <w:t>Staff × salary × productivity-drop% × duration (DORA sample: 15% over 3 months).</w:t>
      </w:r>
    </w:p>
    <w:p>
      <w:pPr>
        <w:spacing w:before="240" w:after="80"/>
      </w:pPr>
      <w:r>
        <w:rPr>
          <w:rFonts w:ascii="Calibri" w:hAnsi="Calibri"/>
          <w:b/>
          <w:i w:val="0"/>
          <w:color w:val="2563EB"/>
          <w:sz w:val="26"/>
        </w:rPr>
        <w:t>Step 2 — Ongoing cost is platform-aware (includes agent/token)</w:t>
      </w:r>
    </w:p>
    <w:p>
      <w:pPr>
        <w:spacing w:after="80"/>
      </w:pPr>
      <w:r>
        <w:rPr>
          <w:rFonts w:ascii="Calibri" w:hAnsi="Calibri"/>
          <w:b w:val="0"/>
          <w:i w:val="0"/>
          <w:sz w:val="21"/>
        </w:rPr>
        <w:t>Ongoing cost is PLATFORM-AWARE and INCLUDES agent/token spend: home-grown = token + platform-eng team; COTS = per-seat licence + token; service-provider = managed fee + token. Shared platform costs are prorated across pods.</w:t>
      </w:r>
    </w:p>
    <w:tbl>
      <w:tblPr>
        <w:tblStyle w:val="TableGrid"/>
        <w:tblW w:type="auto" w:w="0"/>
        <w:tblLook w:firstColumn="1" w:firstRow="1" w:lastColumn="0" w:lastRow="0" w:noHBand="0" w:noVBand="1" w:val="04A0"/>
      </w:tblPr>
      <w:tblGrid>
        <w:gridCol w:w="4680"/>
        <w:gridCol w:w="4680"/>
      </w:tblGrid>
      <w:tr>
        <w:tc>
          <w:tcPr>
            <w:tcW w:type="dxa" w:w="4680"/>
            <w:shd w:val="clear" w:color="auto" w:fill="0F2D5E"/>
          </w:tcPr>
          <w:p>
            <w:r>
              <w:rPr>
                <w:rFonts w:ascii="Calibri" w:hAnsi="Calibri"/>
                <w:b/>
                <w:i w:val="0"/>
                <w:color w:val="FFFFFF"/>
                <w:sz w:val="19"/>
              </w:rPr>
              <w:t>Platform</w:t>
            </w:r>
          </w:p>
        </w:tc>
        <w:tc>
          <w:tcPr>
            <w:tcW w:type="dxa" w:w="4680"/>
            <w:shd w:val="clear" w:color="auto" w:fill="0F2D5E"/>
          </w:tcPr>
          <w:p>
            <w:r>
              <w:rPr>
                <w:rFonts w:ascii="Calibri" w:hAnsi="Calibri"/>
                <w:b/>
                <w:i w:val="0"/>
                <w:color w:val="FFFFFF"/>
                <w:sz w:val="19"/>
              </w:rPr>
              <w:t>Ongoing cost profile</w:t>
            </w:r>
          </w:p>
        </w:tc>
      </w:tr>
      <w:tr>
        <w:tc>
          <w:tcPr>
            <w:tcW w:type="dxa" w:w="4680"/>
            <w:shd w:val="clear" w:color="auto" w:fill="F3F4F6"/>
          </w:tcPr>
          <w:p>
            <w:r>
              <w:rPr>
                <w:rFonts w:ascii="Calibri" w:hAnsi="Calibri"/>
                <w:b w:val="0"/>
                <w:i w:val="0"/>
                <w:sz w:val="19"/>
              </w:rPr>
              <w:t>Home-grown / Custom Build</w:t>
            </w:r>
          </w:p>
        </w:tc>
        <w:tc>
          <w:tcPr>
            <w:tcW w:type="dxa" w:w="4680"/>
            <w:shd w:val="clear" w:color="auto" w:fill="F3F4F6"/>
          </w:tcPr>
          <w:p>
            <w:r>
              <w:rPr>
                <w:rFonts w:ascii="Calibri" w:hAnsi="Calibri"/>
                <w:b w:val="0"/>
                <w:i w:val="0"/>
                <w:sz w:val="19"/>
              </w:rPr>
              <w:t>No licence; high agent/token spend + platform-engineering team (shared across pods)</w:t>
            </w:r>
          </w:p>
        </w:tc>
      </w:tr>
      <w:tr>
        <w:tc>
          <w:tcPr>
            <w:tcW w:type="dxa" w:w="4680"/>
            <w:shd w:val="clear" w:color="auto" w:fill="FFFFFF"/>
          </w:tcPr>
          <w:p>
            <w:r>
              <w:rPr>
                <w:rFonts w:ascii="Calibri" w:hAnsi="Calibri"/>
                <w:b w:val="0"/>
                <w:i w:val="0"/>
                <w:sz w:val="19"/>
              </w:rPr>
              <w:t>BMAD Method</w:t>
            </w:r>
          </w:p>
        </w:tc>
        <w:tc>
          <w:tcPr>
            <w:tcW w:type="dxa" w:w="4680"/>
            <w:shd w:val="clear" w:color="auto" w:fill="FFFFFF"/>
          </w:tcPr>
          <w:p>
            <w:r>
              <w:rPr>
                <w:rFonts w:ascii="Calibri" w:hAnsi="Calibri"/>
                <w:b w:val="0"/>
                <w:i w:val="0"/>
                <w:sz w:val="19"/>
              </w:rPr>
              <w:t>No licence; token spend + small ops pod</w:t>
            </w:r>
          </w:p>
        </w:tc>
      </w:tr>
      <w:tr>
        <w:tc>
          <w:tcPr>
            <w:tcW w:type="dxa" w:w="4680"/>
            <w:shd w:val="clear" w:color="auto" w:fill="F3F4F6"/>
          </w:tcPr>
          <w:p>
            <w:r>
              <w:rPr>
                <w:rFonts w:ascii="Calibri" w:hAnsi="Calibri"/>
                <w:b w:val="0"/>
                <w:i w:val="0"/>
                <w:sz w:val="19"/>
              </w:rPr>
              <w:t>GitHub Copilot Workspace</w:t>
            </w:r>
          </w:p>
        </w:tc>
        <w:tc>
          <w:tcPr>
            <w:tcW w:type="dxa" w:w="4680"/>
            <w:shd w:val="clear" w:color="auto" w:fill="F3F4F6"/>
          </w:tcPr>
          <w:p>
            <w:r>
              <w:rPr>
                <w:rFonts w:ascii="Calibri" w:hAnsi="Calibri"/>
                <w:b w:val="0"/>
                <w:i w:val="0"/>
                <w:sz w:val="19"/>
              </w:rPr>
              <w:t>Per-seat licence + token spend</w:t>
            </w:r>
          </w:p>
        </w:tc>
      </w:tr>
      <w:tr>
        <w:tc>
          <w:tcPr>
            <w:tcW w:type="dxa" w:w="4680"/>
            <w:shd w:val="clear" w:color="auto" w:fill="FFFFFF"/>
          </w:tcPr>
          <w:p>
            <w:r>
              <w:rPr>
                <w:rFonts w:ascii="Calibri" w:hAnsi="Calibri"/>
                <w:b w:val="0"/>
                <w:i w:val="0"/>
                <w:sz w:val="19"/>
              </w:rPr>
              <w:t>Devin (Cognition)</w:t>
            </w:r>
          </w:p>
        </w:tc>
        <w:tc>
          <w:tcPr>
            <w:tcW w:type="dxa" w:w="4680"/>
            <w:shd w:val="clear" w:color="auto" w:fill="FFFFFF"/>
          </w:tcPr>
          <w:p>
            <w:r>
              <w:rPr>
                <w:rFonts w:ascii="Calibri" w:hAnsi="Calibri"/>
                <w:b w:val="0"/>
                <w:i w:val="0"/>
                <w:sz w:val="19"/>
              </w:rPr>
              <w:t>Per-seat/session licence + token spend + small ops pod</w:t>
            </w:r>
          </w:p>
        </w:tc>
      </w:tr>
      <w:tr>
        <w:tc>
          <w:tcPr>
            <w:tcW w:type="dxa" w:w="4680"/>
            <w:shd w:val="clear" w:color="auto" w:fill="F3F4F6"/>
          </w:tcPr>
          <w:p>
            <w:r>
              <w:rPr>
                <w:rFonts w:ascii="Calibri" w:hAnsi="Calibri"/>
                <w:b w:val="0"/>
                <w:i w:val="0"/>
                <w:sz w:val="19"/>
              </w:rPr>
              <w:t>Cursor (Anysphere)</w:t>
            </w:r>
          </w:p>
        </w:tc>
        <w:tc>
          <w:tcPr>
            <w:tcW w:type="dxa" w:w="4680"/>
            <w:shd w:val="clear" w:color="auto" w:fill="F3F4F6"/>
          </w:tcPr>
          <w:p>
            <w:r>
              <w:rPr>
                <w:rFonts w:ascii="Calibri" w:hAnsi="Calibri"/>
                <w:b w:val="0"/>
                <w:i w:val="0"/>
                <w:sz w:val="19"/>
              </w:rPr>
              <w:t>Per-seat licence + token spend</w:t>
            </w:r>
          </w:p>
        </w:tc>
      </w:tr>
      <w:tr>
        <w:tc>
          <w:tcPr>
            <w:tcW w:type="dxa" w:w="4680"/>
            <w:shd w:val="clear" w:color="auto" w:fill="FFFFFF"/>
          </w:tcPr>
          <w:p>
            <w:r>
              <w:rPr>
                <w:rFonts w:ascii="Calibri" w:hAnsi="Calibri"/>
                <w:b w:val="0"/>
                <w:i w:val="0"/>
                <w:sz w:val="19"/>
              </w:rPr>
              <w:t>Cognizant Flowsource</w:t>
            </w:r>
          </w:p>
        </w:tc>
        <w:tc>
          <w:tcPr>
            <w:tcW w:type="dxa" w:w="4680"/>
            <w:shd w:val="clear" w:color="auto" w:fill="FFFFFF"/>
          </w:tcPr>
          <w:p>
            <w:r>
              <w:rPr>
                <w:rFonts w:ascii="Calibri" w:hAnsi="Calibri"/>
                <w:b w:val="0"/>
                <w:i w:val="0"/>
                <w:sz w:val="19"/>
              </w:rPr>
              <w:t>Managed platform + services fee + token spend (smaller in-house team)</w:t>
            </w:r>
          </w:p>
        </w:tc>
      </w:tr>
    </w:tbl>
    <w:p/>
    <w:p>
      <w:pPr>
        <w:spacing w:before="240" w:after="80"/>
      </w:pPr>
      <w:r>
        <w:rPr>
          <w:rFonts w:ascii="Calibri" w:hAnsi="Calibri"/>
          <w:b/>
          <w:i w:val="0"/>
          <w:color w:val="2563EB"/>
          <w:sz w:val="26"/>
        </w:rPr>
        <w:t>Step 3 — Value (cost-only) and ROI</w:t>
      </w:r>
    </w:p>
    <w:p>
      <w:pPr>
        <w:spacing w:after="80"/>
      </w:pPr>
      <w:r>
        <w:rPr>
          <w:rFonts w:ascii="Calibri" w:hAnsi="Calibri"/>
          <w:b w:val="0"/>
          <w:i w:val="0"/>
          <w:sz w:val="21"/>
        </w:rPr>
        <w:t>ROI % = (Value − Investment) ÷ Investment   —   Value = cost-avoidance (freed capacity), NOT new-feature revenue</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Business growth from new features is intentionally excluded — value is engineering cost-efficiency and capacity reinvestment only.</w:t>
            </w:r>
          </w:p>
        </w:tc>
      </w:tr>
    </w:tbl>
    <w:p/>
    <w:p>
      <w:pPr>
        <w:spacing w:before="240" w:after="80"/>
      </w:pPr>
      <w:r>
        <w:rPr>
          <w:rFonts w:ascii="Calibri" w:hAnsi="Calibri"/>
          <w:b/>
          <w:i w:val="0"/>
          <w:color w:val="2563EB"/>
          <w:sz w:val="26"/>
        </w:rPr>
        <w:t>Step 4 — Productivity economics that feed the model</w:t>
      </w:r>
    </w:p>
    <w:p>
      <w:pPr>
        <w:spacing w:after="80"/>
      </w:pPr>
      <w:r>
        <w:rPr>
          <w:rFonts w:ascii="Calibri" w:hAnsi="Calibri"/>
          <w:b w:val="0"/>
          <w:i w:val="0"/>
          <w:sz w:val="21"/>
        </w:rPr>
        <w:t>Value is grounded in the Story-Points→Effort→Cost chain: Story Points → Effort (person-days) → Cost (USD) → Unit economics.</w:t>
      </w:r>
    </w:p>
    <w:p>
      <w:pPr>
        <w:pStyle w:val="ListBullet"/>
        <w:spacing w:after="40"/>
        <w:ind w:left="432"/>
      </w:pPr>
      <w:r>
        <w:rPr>
          <w:rFonts w:ascii="Calibri" w:hAnsi="Calibri"/>
          <w:b w:val="0"/>
          <w:i w:val="0"/>
          <w:sz w:val="21"/>
        </w:rPr>
        <w:t>Effort = SP delivered × SP-rate (days/SP)</w:t>
      </w:r>
    </w:p>
    <w:p>
      <w:pPr>
        <w:pStyle w:val="ListBullet"/>
        <w:spacing w:after="40"/>
        <w:ind w:left="432"/>
      </w:pPr>
      <w:r>
        <w:rPr>
          <w:rFonts w:ascii="Calibri" w:hAnsi="Calibri"/>
          <w:b w:val="0"/>
          <w:i w:val="0"/>
          <w:sz w:val="21"/>
        </w:rPr>
        <w:t>Cost = Effort × blended daily rate</w:t>
      </w:r>
    </w:p>
    <w:p>
      <w:pPr>
        <w:pStyle w:val="ListBullet"/>
        <w:spacing w:after="40"/>
        <w:ind w:left="432"/>
      </w:pPr>
      <w:r>
        <w:rPr>
          <w:rFonts w:ascii="Calibri" w:hAnsi="Calibri"/>
          <w:b w:val="0"/>
          <w:i w:val="0"/>
          <w:sz w:val="21"/>
        </w:rPr>
        <w:t>Cost per SP = SP-rate × blended daily rate</w:t>
      </w:r>
    </w:p>
    <w:p>
      <w:pPr>
        <w:pStyle w:val="ListBullet"/>
        <w:spacing w:after="40"/>
        <w:ind w:left="432"/>
      </w:pPr>
      <w:r>
        <w:rPr>
          <w:rFonts w:ascii="Calibri" w:hAnsi="Calibri"/>
          <w:b w:val="0"/>
          <w:i w:val="0"/>
          <w:sz w:val="21"/>
        </w:rPr>
        <w:t>Productivity = SP delivered ÷ capacity (SP/person-day)</w:t>
      </w:r>
    </w:p>
    <w:p>
      <w:pPr>
        <w:pStyle w:val="ListBullet"/>
        <w:spacing w:after="40"/>
        <w:ind w:left="432"/>
      </w:pPr>
      <w:r>
        <w:rPr>
          <w:rFonts w:ascii="Calibri" w:hAnsi="Calibri"/>
          <w:b w:val="0"/>
          <w:i w:val="0"/>
          <w:sz w:val="21"/>
        </w:rPr>
        <w:t>Saving (one figure, three units): effort-saved (pd) = cost-saved ($) = SP freed</w:t>
      </w:r>
    </w:p>
    <w:p>
      <w:pPr>
        <w:spacing w:after="80"/>
      </w:pPr>
      <w:r>
        <w:rPr>
          <w:rFonts w:ascii="Calibri" w:hAnsi="Calibri"/>
          <w:b w:val="0"/>
          <w:i w:val="0"/>
          <w:sz w:val="21"/>
        </w:rPr>
        <w:t>Baseline (pre-AI) is derived from the same effort/budget at the pre-AI SP-rate, so SP-uplift %, productivity index and cost/SP reduction all move together. Inputs are editable (team, sprint days, utilisation, blended rate, SP-rate, CFR) and auto-pull from Jira/ADO + Finance once connected.</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Read sprint-on-sprint: net savings start negative through the dip, then grow and cross breakeven. DORA sample levers (override per engagement): J-Curve drop 15% over 3 months; AI licence ~$250/user/yr; token/usage variable; training; infra. All levers are editable per engagement.</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