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F2D5E"/>
          </w:tcPr>
          <w:p>
            <w:pPr>
              <w:spacing w:before="400" w:after="120"/>
              <w:jc w:val="center"/>
            </w:pPr>
            <w:r>
              <w:rPr>
                <w:rFonts w:ascii="Calibri" w:hAnsi="Calibri"/>
                <w:b/>
                <w:i w:val="0"/>
                <w:color w:val="FFFFFF"/>
                <w:sz w:val="44"/>
              </w:rPr>
              <w:t>AI-Powered PDLC Transformation</w:t>
            </w:r>
          </w:p>
          <w:p>
            <w:pPr>
              <w:jc w:val="center"/>
            </w:pPr>
            <w:r>
              <w:rPr>
                <w:rFonts w:ascii="Calibri" w:hAnsi="Calibri"/>
                <w:b w:val="0"/>
                <w:i w:val="0"/>
                <w:color w:val="DBEAFE"/>
                <w:sz w:val="26"/>
              </w:rPr>
              <w:t>GTM Pack — Set 1: CXO GTM Pack</w:t>
            </w:r>
          </w:p>
          <w:p>
            <w:pPr>
              <w:spacing w:after="400"/>
              <w:jc w:val="center"/>
            </w:pPr>
            <w:r>
              <w:rPr>
                <w:rFonts w:ascii="Calibri" w:hAnsi="Calibri"/>
                <w:b w:val="0"/>
                <w:i/>
                <w:color w:val="DBEAFE"/>
                <w:sz w:val="22"/>
              </w:rPr>
              <w:t>Document 06 of 10</w:t>
            </w:r>
          </w:p>
        </w:tc>
      </w:tr>
    </w:tbl>
    <w:p/>
    <w:p>
      <w:pPr>
        <w:jc w:val="center"/>
      </w:pPr>
      <w:r>
        <w:rPr>
          <w:rFonts w:ascii="Calibri" w:hAnsi="Calibri"/>
          <w:b/>
          <w:i w:val="0"/>
          <w:color w:val="0F2D5E"/>
          <w:sz w:val="52"/>
        </w:rPr>
        <w:t>PDLC Maturity &amp; AI Transformation Readiness</w:t>
      </w:r>
    </w:p>
    <w:p>
      <w:pPr>
        <w:jc w:val="center"/>
      </w:pPr>
      <w:r>
        <w:rPr>
          <w:rFonts w:ascii="Calibri" w:hAnsi="Calibri"/>
          <w:b w:val="0"/>
          <w:i/>
          <w:color w:val="2563EB"/>
          <w:sz w:val="28"/>
        </w:rPr>
        <w:t>Financial Services Benchmark Report 2025</w:t>
      </w:r>
    </w:p>
    <w:p>
      <w:pPr>
        <w:spacing w:before="60" w:after="60"/>
        <w:pBdr>
          <w:bottom w:val="single" w:sz="6" w:space="1" w:color="2563EB"/>
        </w:pBdr>
      </w:pPr>
    </w:p>
    <w:p>
      <w:pPr>
        <w:jc w:val="center"/>
      </w:pPr>
      <w:r>
        <w:rPr>
          <w:rFonts w:ascii="Calibri" w:hAnsi="Calibri"/>
          <w:b w:val="0"/>
          <w:i w:val="0"/>
          <w:color w:val="4B5563"/>
          <w:sz w:val="22"/>
        </w:rPr>
        <w:t>DIAGNOSE · DESIGN · DELIVER · Accelerated by AI</w:t>
      </w:r>
    </w:p>
    <w:p>
      <w:r>
        <w:br w:type="page"/>
      </w:r>
    </w:p>
    <w:p>
      <w:pPr>
        <w:spacing w:before="400" w:after="120"/>
      </w:pPr>
      <w:r>
        <w:rPr>
          <w:rFonts w:ascii="Calibri" w:hAnsi="Calibri"/>
          <w:b/>
          <w:i w:val="0"/>
          <w:color w:val="0F2D5E"/>
          <w:sz w:val="32"/>
        </w:rPr>
        <w:t>About This Report</w:t>
      </w:r>
    </w:p>
    <w:p>
      <w:pPr>
        <w:spacing w:after="80"/>
      </w:pPr>
      <w:r>
        <w:rPr>
          <w:rFonts w:ascii="Calibri" w:hAnsi="Calibri"/>
          <w:b w:val="0"/>
          <w:i w:val="0"/>
          <w:sz w:val="21"/>
        </w:rPr>
        <w:t>This benchmark report synthesises PDLC performance data from 500+ enterprise software teams in financial services, insurance, and banking — segmented by AI transformation maturity. It is designed to help technology and transformation leaders understand where their organisation sits on the transformation spectrum, what the leaders in their peer group are doing differently, and how the diagnostic phase of the AI-Powered PDLC Transformation offering compares their position against these benchmarks in real time.</w:t>
      </w:r>
    </w:p>
    <w:p>
      <w:pPr>
        <w:spacing w:after="80"/>
      </w:pPr>
      <w:r>
        <w:rPr>
          <w:rFonts w:ascii="Calibri" w:hAnsi="Calibri"/>
          <w:b w:val="0"/>
          <w:i w:val="0"/>
          <w:sz w:val="21"/>
        </w:rPr>
        <w:t>Data sources: anonymised ALM telemetry, DORA survey data, consulting engagement baselines, and published industry research (State of DevOps Report, DORA Accelerate, Forrester Wave). All figures represent financial services sector data unless otherwise noted.</w:t>
      </w:r>
    </w:p>
    <w:p>
      <w:pPr>
        <w:spacing w:before="60" w:after="60"/>
        <w:pBdr>
          <w:bottom w:val="single" w:sz="6" w:space="1" w:color="2563EB"/>
        </w:pBdr>
      </w:pPr>
    </w:p>
    <w:p>
      <w:pPr>
        <w:spacing w:before="400" w:after="120"/>
      </w:pPr>
      <w:r>
        <w:rPr>
          <w:rFonts w:ascii="Calibri" w:hAnsi="Calibri"/>
          <w:b/>
          <w:i w:val="0"/>
          <w:color w:val="0F2D5E"/>
          <w:sz w:val="32"/>
        </w:rPr>
        <w:t>Section 1: Sector Benchmarks — PDLC Performance by Metric</w:t>
      </w:r>
    </w:p>
    <w:p>
      <w:pPr>
        <w:spacing w:before="240" w:after="80"/>
      </w:pPr>
      <w:r>
        <w:rPr>
          <w:rFonts w:ascii="Calibri" w:hAnsi="Calibri"/>
          <w:b/>
          <w:i w:val="0"/>
          <w:color w:val="2563EB"/>
          <w:sz w:val="26"/>
        </w:rPr>
        <w:t>Lead Time (Feature Commit to Production Deployment)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color="auto" w:fill="0F2D5E"/>
          </w:tcPr>
          <w:p>
            <w:r>
              <w:rPr>
                <w:rFonts w:ascii="Calibri" w:hAnsi="Calibri"/>
                <w:b/>
                <w:i w:val="0"/>
                <w:color w:val="FFFFFF"/>
                <w:sz w:val="19"/>
              </w:rPr>
              <w:t>Segment</w:t>
            </w:r>
          </w:p>
        </w:tc>
        <w:tc>
          <w:tcPr>
            <w:tcW w:type="dxa" w:w="1728"/>
            <w:shd w:val="clear" w:color="auto" w:fill="0F2D5E"/>
          </w:tcPr>
          <w:p>
            <w:r>
              <w:rPr>
                <w:rFonts w:ascii="Calibri" w:hAnsi="Calibri"/>
                <w:b/>
                <w:i w:val="0"/>
                <w:color w:val="FFFFFF"/>
                <w:sz w:val="19"/>
              </w:rPr>
              <w:t>Bottom Quartile</w:t>
            </w:r>
          </w:p>
        </w:tc>
        <w:tc>
          <w:tcPr>
            <w:tcW w:type="dxa" w:w="1440"/>
            <w:shd w:val="clear" w:color="auto" w:fill="0F2D5E"/>
          </w:tcPr>
          <w:p>
            <w:r>
              <w:rPr>
                <w:rFonts w:ascii="Calibri" w:hAnsi="Calibri"/>
                <w:b/>
                <w:i w:val="0"/>
                <w:color w:val="FFFFFF"/>
                <w:sz w:val="19"/>
              </w:rPr>
              <w:t>Median</w:t>
            </w:r>
          </w:p>
        </w:tc>
        <w:tc>
          <w:tcPr>
            <w:tcW w:type="dxa" w:w="1728"/>
            <w:shd w:val="clear" w:color="auto" w:fill="0F2D5E"/>
          </w:tcPr>
          <w:p>
            <w:r>
              <w:rPr>
                <w:rFonts w:ascii="Calibri" w:hAnsi="Calibri"/>
                <w:b/>
                <w:i w:val="0"/>
                <w:color w:val="FFFFFF"/>
                <w:sz w:val="19"/>
              </w:rPr>
              <w:t>Top Quartile</w:t>
            </w:r>
          </w:p>
        </w:tc>
        <w:tc>
          <w:tcPr>
            <w:tcW w:type="dxa" w:w="2592"/>
            <w:shd w:val="clear" w:color="auto" w:fill="0F2D5E"/>
          </w:tcPr>
          <w:p>
            <w:r>
              <w:rPr>
                <w:rFonts w:ascii="Calibri" w:hAnsi="Calibri"/>
                <w:b/>
                <w:i w:val="0"/>
                <w:color w:val="FFFFFF"/>
                <w:sz w:val="19"/>
              </w:rPr>
              <w:t>World-Class (Top 5%)</w:t>
            </w:r>
          </w:p>
        </w:tc>
      </w:tr>
      <w:tr>
        <w:tc>
          <w:tcPr>
            <w:tcW w:type="dxa" w:w="2448"/>
            <w:shd w:val="clear" w:color="auto" w:fill="F3F4F6"/>
          </w:tcPr>
          <w:p>
            <w:r>
              <w:rPr>
                <w:rFonts w:ascii="Calibri" w:hAnsi="Calibri"/>
                <w:b w:val="0"/>
                <w:i w:val="0"/>
                <w:sz w:val="19"/>
              </w:rPr>
              <w:t>Retail Banking</w:t>
            </w:r>
          </w:p>
        </w:tc>
        <w:tc>
          <w:tcPr>
            <w:tcW w:type="dxa" w:w="1728"/>
            <w:shd w:val="clear" w:color="auto" w:fill="F3F4F6"/>
          </w:tcPr>
          <w:p>
            <w:r>
              <w:rPr>
                <w:rFonts w:ascii="Calibri" w:hAnsi="Calibri"/>
                <w:b w:val="0"/>
                <w:i w:val="0"/>
                <w:sz w:val="19"/>
              </w:rPr>
              <w:t>60+ days</w:t>
            </w:r>
          </w:p>
        </w:tc>
        <w:tc>
          <w:tcPr>
            <w:tcW w:type="dxa" w:w="1440"/>
            <w:shd w:val="clear" w:color="auto" w:fill="F3F4F6"/>
          </w:tcPr>
          <w:p>
            <w:r>
              <w:rPr>
                <w:rFonts w:ascii="Calibri" w:hAnsi="Calibri"/>
                <w:b w:val="0"/>
                <w:i w:val="0"/>
                <w:sz w:val="19"/>
              </w:rPr>
              <w:t>38 days</w:t>
            </w:r>
          </w:p>
        </w:tc>
        <w:tc>
          <w:tcPr>
            <w:tcW w:type="dxa" w:w="1728"/>
            <w:shd w:val="clear" w:color="auto" w:fill="F3F4F6"/>
          </w:tcPr>
          <w:p>
            <w:r>
              <w:rPr>
                <w:rFonts w:ascii="Calibri" w:hAnsi="Calibri"/>
                <w:b w:val="0"/>
                <w:i w:val="0"/>
                <w:sz w:val="19"/>
              </w:rPr>
              <w:t>22 days</w:t>
            </w:r>
          </w:p>
        </w:tc>
        <w:tc>
          <w:tcPr>
            <w:tcW w:type="dxa" w:w="2592"/>
            <w:shd w:val="clear" w:color="auto" w:fill="F3F4F6"/>
          </w:tcPr>
          <w:p>
            <w:r>
              <w:rPr>
                <w:rFonts w:ascii="Calibri" w:hAnsi="Calibri"/>
                <w:b w:val="0"/>
                <w:i w:val="0"/>
                <w:sz w:val="19"/>
              </w:rPr>
              <w:t>8–10 days</w:t>
            </w:r>
          </w:p>
        </w:tc>
      </w:tr>
      <w:tr>
        <w:tc>
          <w:tcPr>
            <w:tcW w:type="dxa" w:w="2448"/>
            <w:shd w:val="clear" w:color="auto" w:fill="FFFFFF"/>
          </w:tcPr>
          <w:p>
            <w:r>
              <w:rPr>
                <w:rFonts w:ascii="Calibri" w:hAnsi="Calibri"/>
                <w:b w:val="0"/>
                <w:i w:val="0"/>
                <w:sz w:val="19"/>
              </w:rPr>
              <w:t>Insurance</w:t>
            </w:r>
          </w:p>
        </w:tc>
        <w:tc>
          <w:tcPr>
            <w:tcW w:type="dxa" w:w="1728"/>
            <w:shd w:val="clear" w:color="auto" w:fill="FFFFFF"/>
          </w:tcPr>
          <w:p>
            <w:r>
              <w:rPr>
                <w:rFonts w:ascii="Calibri" w:hAnsi="Calibri"/>
                <w:b w:val="0"/>
                <w:i w:val="0"/>
                <w:sz w:val="19"/>
              </w:rPr>
              <w:t>55+ days</w:t>
            </w:r>
          </w:p>
        </w:tc>
        <w:tc>
          <w:tcPr>
            <w:tcW w:type="dxa" w:w="1440"/>
            <w:shd w:val="clear" w:color="auto" w:fill="FFFFFF"/>
          </w:tcPr>
          <w:p>
            <w:r>
              <w:rPr>
                <w:rFonts w:ascii="Calibri" w:hAnsi="Calibri"/>
                <w:b w:val="0"/>
                <w:i w:val="0"/>
                <w:sz w:val="19"/>
              </w:rPr>
              <w:t>42 days</w:t>
            </w:r>
          </w:p>
        </w:tc>
        <w:tc>
          <w:tcPr>
            <w:tcW w:type="dxa" w:w="1728"/>
            <w:shd w:val="clear" w:color="auto" w:fill="FFFFFF"/>
          </w:tcPr>
          <w:p>
            <w:r>
              <w:rPr>
                <w:rFonts w:ascii="Calibri" w:hAnsi="Calibri"/>
                <w:b w:val="0"/>
                <w:i w:val="0"/>
                <w:sz w:val="19"/>
              </w:rPr>
              <w:t>28 days</w:t>
            </w:r>
          </w:p>
        </w:tc>
        <w:tc>
          <w:tcPr>
            <w:tcW w:type="dxa" w:w="2592"/>
            <w:shd w:val="clear" w:color="auto" w:fill="FFFFFF"/>
          </w:tcPr>
          <w:p>
            <w:r>
              <w:rPr>
                <w:rFonts w:ascii="Calibri" w:hAnsi="Calibri"/>
                <w:b w:val="0"/>
                <w:i w:val="0"/>
                <w:sz w:val="19"/>
              </w:rPr>
              <w:t>10–14 days</w:t>
            </w:r>
          </w:p>
        </w:tc>
      </w:tr>
      <w:tr>
        <w:tc>
          <w:tcPr>
            <w:tcW w:type="dxa" w:w="2448"/>
            <w:shd w:val="clear" w:color="auto" w:fill="F3F4F6"/>
          </w:tcPr>
          <w:p>
            <w:r>
              <w:rPr>
                <w:rFonts w:ascii="Calibri" w:hAnsi="Calibri"/>
                <w:b w:val="0"/>
                <w:i w:val="0"/>
                <w:sz w:val="19"/>
              </w:rPr>
              <w:t>Capital Markets</w:t>
            </w:r>
          </w:p>
        </w:tc>
        <w:tc>
          <w:tcPr>
            <w:tcW w:type="dxa" w:w="1728"/>
            <w:shd w:val="clear" w:color="auto" w:fill="F3F4F6"/>
          </w:tcPr>
          <w:p>
            <w:r>
              <w:rPr>
                <w:rFonts w:ascii="Calibri" w:hAnsi="Calibri"/>
                <w:b w:val="0"/>
                <w:i w:val="0"/>
                <w:sz w:val="19"/>
              </w:rPr>
              <w:t>70+ days</w:t>
            </w:r>
          </w:p>
        </w:tc>
        <w:tc>
          <w:tcPr>
            <w:tcW w:type="dxa" w:w="1440"/>
            <w:shd w:val="clear" w:color="auto" w:fill="F3F4F6"/>
          </w:tcPr>
          <w:p>
            <w:r>
              <w:rPr>
                <w:rFonts w:ascii="Calibri" w:hAnsi="Calibri"/>
                <w:b w:val="0"/>
                <w:i w:val="0"/>
                <w:sz w:val="19"/>
              </w:rPr>
              <w:t>45 days</w:t>
            </w:r>
          </w:p>
        </w:tc>
        <w:tc>
          <w:tcPr>
            <w:tcW w:type="dxa" w:w="1728"/>
            <w:shd w:val="clear" w:color="auto" w:fill="F3F4F6"/>
          </w:tcPr>
          <w:p>
            <w:r>
              <w:rPr>
                <w:rFonts w:ascii="Calibri" w:hAnsi="Calibri"/>
                <w:b w:val="0"/>
                <w:i w:val="0"/>
                <w:sz w:val="19"/>
              </w:rPr>
              <w:t>25 days</w:t>
            </w:r>
          </w:p>
        </w:tc>
        <w:tc>
          <w:tcPr>
            <w:tcW w:type="dxa" w:w="2592"/>
            <w:shd w:val="clear" w:color="auto" w:fill="F3F4F6"/>
          </w:tcPr>
          <w:p>
            <w:r>
              <w:rPr>
                <w:rFonts w:ascii="Calibri" w:hAnsi="Calibri"/>
                <w:b w:val="0"/>
                <w:i w:val="0"/>
                <w:sz w:val="19"/>
              </w:rPr>
              <w:t>9–12 days</w:t>
            </w:r>
          </w:p>
        </w:tc>
      </w:tr>
      <w:tr>
        <w:tc>
          <w:tcPr>
            <w:tcW w:type="dxa" w:w="2448"/>
            <w:shd w:val="clear" w:color="auto" w:fill="FFFFFF"/>
          </w:tcPr>
          <w:p>
            <w:r>
              <w:rPr>
                <w:rFonts w:ascii="Calibri" w:hAnsi="Calibri"/>
                <w:b w:val="0"/>
                <w:i w:val="0"/>
                <w:sz w:val="19"/>
              </w:rPr>
              <w:t>Payments / Fintech</w:t>
            </w:r>
          </w:p>
        </w:tc>
        <w:tc>
          <w:tcPr>
            <w:tcW w:type="dxa" w:w="1728"/>
            <w:shd w:val="clear" w:color="auto" w:fill="FFFFFF"/>
          </w:tcPr>
          <w:p>
            <w:r>
              <w:rPr>
                <w:rFonts w:ascii="Calibri" w:hAnsi="Calibri"/>
                <w:b w:val="0"/>
                <w:i w:val="0"/>
                <w:sz w:val="19"/>
              </w:rPr>
              <w:t>30+ days</w:t>
            </w:r>
          </w:p>
        </w:tc>
        <w:tc>
          <w:tcPr>
            <w:tcW w:type="dxa" w:w="1440"/>
            <w:shd w:val="clear" w:color="auto" w:fill="FFFFFF"/>
          </w:tcPr>
          <w:p>
            <w:r>
              <w:rPr>
                <w:rFonts w:ascii="Calibri" w:hAnsi="Calibri"/>
                <w:b w:val="0"/>
                <w:i w:val="0"/>
                <w:sz w:val="19"/>
              </w:rPr>
              <w:t>18 days</w:t>
            </w:r>
          </w:p>
        </w:tc>
        <w:tc>
          <w:tcPr>
            <w:tcW w:type="dxa" w:w="1728"/>
            <w:shd w:val="clear" w:color="auto" w:fill="FFFFFF"/>
          </w:tcPr>
          <w:p>
            <w:r>
              <w:rPr>
                <w:rFonts w:ascii="Calibri" w:hAnsi="Calibri"/>
                <w:b w:val="0"/>
                <w:i w:val="0"/>
                <w:sz w:val="19"/>
              </w:rPr>
              <w:t>10 days</w:t>
            </w:r>
          </w:p>
        </w:tc>
        <w:tc>
          <w:tcPr>
            <w:tcW w:type="dxa" w:w="2592"/>
            <w:shd w:val="clear" w:color="auto" w:fill="FFFFFF"/>
          </w:tcPr>
          <w:p>
            <w:r>
              <w:rPr>
                <w:rFonts w:ascii="Calibri" w:hAnsi="Calibri"/>
                <w:b w:val="0"/>
                <w:i w:val="0"/>
                <w:sz w:val="19"/>
              </w:rPr>
              <w:t>4–6 days</w:t>
            </w:r>
          </w:p>
        </w:tc>
      </w:tr>
      <w:tr>
        <w:tc>
          <w:tcPr>
            <w:tcW w:type="dxa" w:w="2448"/>
            <w:shd w:val="clear" w:color="auto" w:fill="F3F4F6"/>
          </w:tcPr>
          <w:p>
            <w:r>
              <w:rPr>
                <w:rFonts w:ascii="Calibri" w:hAnsi="Calibri"/>
                <w:b w:val="0"/>
                <w:i w:val="0"/>
                <w:sz w:val="19"/>
              </w:rPr>
              <w:t>Wealth Management</w:t>
            </w:r>
          </w:p>
        </w:tc>
        <w:tc>
          <w:tcPr>
            <w:tcW w:type="dxa" w:w="1728"/>
            <w:shd w:val="clear" w:color="auto" w:fill="F3F4F6"/>
          </w:tcPr>
          <w:p>
            <w:r>
              <w:rPr>
                <w:rFonts w:ascii="Calibri" w:hAnsi="Calibri"/>
                <w:b w:val="0"/>
                <w:i w:val="0"/>
                <w:sz w:val="19"/>
              </w:rPr>
              <w:t>65+ days</w:t>
            </w:r>
          </w:p>
        </w:tc>
        <w:tc>
          <w:tcPr>
            <w:tcW w:type="dxa" w:w="1440"/>
            <w:shd w:val="clear" w:color="auto" w:fill="F3F4F6"/>
          </w:tcPr>
          <w:p>
            <w:r>
              <w:rPr>
                <w:rFonts w:ascii="Calibri" w:hAnsi="Calibri"/>
                <w:b w:val="0"/>
                <w:i w:val="0"/>
                <w:sz w:val="19"/>
              </w:rPr>
              <w:t>44 days</w:t>
            </w:r>
          </w:p>
        </w:tc>
        <w:tc>
          <w:tcPr>
            <w:tcW w:type="dxa" w:w="1728"/>
            <w:shd w:val="clear" w:color="auto" w:fill="F3F4F6"/>
          </w:tcPr>
          <w:p>
            <w:r>
              <w:rPr>
                <w:rFonts w:ascii="Calibri" w:hAnsi="Calibri"/>
                <w:b w:val="0"/>
                <w:i w:val="0"/>
                <w:sz w:val="19"/>
              </w:rPr>
              <w:t>30 days</w:t>
            </w:r>
          </w:p>
        </w:tc>
        <w:tc>
          <w:tcPr>
            <w:tcW w:type="dxa" w:w="2592"/>
            <w:shd w:val="clear" w:color="auto" w:fill="F3F4F6"/>
          </w:tcPr>
          <w:p>
            <w:r>
              <w:rPr>
                <w:rFonts w:ascii="Calibri" w:hAnsi="Calibri"/>
                <w:b w:val="0"/>
                <w:i w:val="0"/>
                <w:sz w:val="19"/>
              </w:rPr>
              <w:t>12–16 days</w:t>
            </w:r>
          </w:p>
        </w:tc>
      </w:tr>
    </w:tbl>
    <w:p/>
    <w:p>
      <w:pPr>
        <w:spacing w:before="240" w:after="80"/>
      </w:pPr>
      <w:r>
        <w:rPr>
          <w:rFonts w:ascii="Calibri" w:hAnsi="Calibri"/>
          <w:b/>
          <w:i w:val="0"/>
          <w:color w:val="2563EB"/>
          <w:sz w:val="26"/>
        </w:rPr>
        <w:t>Flow Efficiency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color="auto" w:fill="0F2D5E"/>
          </w:tcPr>
          <w:p>
            <w:r>
              <w:rPr>
                <w:rFonts w:ascii="Calibri" w:hAnsi="Calibri"/>
                <w:b/>
                <w:i w:val="0"/>
                <w:color w:val="FFFFFF"/>
                <w:sz w:val="19"/>
              </w:rPr>
              <w:t>Segment</w:t>
            </w:r>
          </w:p>
        </w:tc>
        <w:tc>
          <w:tcPr>
            <w:tcW w:type="dxa" w:w="1728"/>
            <w:shd w:val="clear" w:color="auto" w:fill="0F2D5E"/>
          </w:tcPr>
          <w:p>
            <w:r>
              <w:rPr>
                <w:rFonts w:ascii="Calibri" w:hAnsi="Calibri"/>
                <w:b/>
                <w:i w:val="0"/>
                <w:color w:val="FFFFFF"/>
                <w:sz w:val="19"/>
              </w:rPr>
              <w:t>Bottom Quartile</w:t>
            </w:r>
          </w:p>
        </w:tc>
        <w:tc>
          <w:tcPr>
            <w:tcW w:type="dxa" w:w="1440"/>
            <w:shd w:val="clear" w:color="auto" w:fill="0F2D5E"/>
          </w:tcPr>
          <w:p>
            <w:r>
              <w:rPr>
                <w:rFonts w:ascii="Calibri" w:hAnsi="Calibri"/>
                <w:b/>
                <w:i w:val="0"/>
                <w:color w:val="FFFFFF"/>
                <w:sz w:val="19"/>
              </w:rPr>
              <w:t>Median</w:t>
            </w:r>
          </w:p>
        </w:tc>
        <w:tc>
          <w:tcPr>
            <w:tcW w:type="dxa" w:w="1728"/>
            <w:shd w:val="clear" w:color="auto" w:fill="0F2D5E"/>
          </w:tcPr>
          <w:p>
            <w:r>
              <w:rPr>
                <w:rFonts w:ascii="Calibri" w:hAnsi="Calibri"/>
                <w:b/>
                <w:i w:val="0"/>
                <w:color w:val="FFFFFF"/>
                <w:sz w:val="19"/>
              </w:rPr>
              <w:t>Top Quartile</w:t>
            </w:r>
          </w:p>
        </w:tc>
        <w:tc>
          <w:tcPr>
            <w:tcW w:type="dxa" w:w="2592"/>
            <w:shd w:val="clear" w:color="auto" w:fill="0F2D5E"/>
          </w:tcPr>
          <w:p>
            <w:r>
              <w:rPr>
                <w:rFonts w:ascii="Calibri" w:hAnsi="Calibri"/>
                <w:b/>
                <w:i w:val="0"/>
                <w:color w:val="FFFFFF"/>
                <w:sz w:val="19"/>
              </w:rPr>
              <w:t>World-Class</w:t>
            </w:r>
          </w:p>
        </w:tc>
      </w:tr>
      <w:tr>
        <w:tc>
          <w:tcPr>
            <w:tcW w:type="dxa" w:w="2448"/>
            <w:shd w:val="clear" w:color="auto" w:fill="F3F4F6"/>
          </w:tcPr>
          <w:p>
            <w:r>
              <w:rPr>
                <w:rFonts w:ascii="Calibri" w:hAnsi="Calibri"/>
                <w:b w:val="0"/>
                <w:i w:val="0"/>
                <w:sz w:val="19"/>
              </w:rPr>
              <w:t>Retail Banking</w:t>
            </w:r>
          </w:p>
        </w:tc>
        <w:tc>
          <w:tcPr>
            <w:tcW w:type="dxa" w:w="1728"/>
            <w:shd w:val="clear" w:color="auto" w:fill="F3F4F6"/>
          </w:tcPr>
          <w:p>
            <w:r>
              <w:rPr>
                <w:rFonts w:ascii="Calibri" w:hAnsi="Calibri"/>
                <w:b w:val="0"/>
                <w:i w:val="0"/>
                <w:sz w:val="19"/>
              </w:rPr>
              <w:t>&lt; 8%</w:t>
            </w:r>
          </w:p>
        </w:tc>
        <w:tc>
          <w:tcPr>
            <w:tcW w:type="dxa" w:w="1440"/>
            <w:shd w:val="clear" w:color="auto" w:fill="F3F4F6"/>
          </w:tcPr>
          <w:p>
            <w:r>
              <w:rPr>
                <w:rFonts w:ascii="Calibri" w:hAnsi="Calibri"/>
                <w:b w:val="0"/>
                <w:i w:val="0"/>
                <w:sz w:val="19"/>
              </w:rPr>
              <w:t>14%</w:t>
            </w:r>
          </w:p>
        </w:tc>
        <w:tc>
          <w:tcPr>
            <w:tcW w:type="dxa" w:w="1728"/>
            <w:shd w:val="clear" w:color="auto" w:fill="F3F4F6"/>
          </w:tcPr>
          <w:p>
            <w:r>
              <w:rPr>
                <w:rFonts w:ascii="Calibri" w:hAnsi="Calibri"/>
                <w:b w:val="0"/>
                <w:i w:val="0"/>
                <w:sz w:val="19"/>
              </w:rPr>
              <w:t>28%</w:t>
            </w:r>
          </w:p>
        </w:tc>
        <w:tc>
          <w:tcPr>
            <w:tcW w:type="dxa" w:w="2592"/>
            <w:shd w:val="clear" w:color="auto" w:fill="F3F4F6"/>
          </w:tcPr>
          <w:p>
            <w:r>
              <w:rPr>
                <w:rFonts w:ascii="Calibri" w:hAnsi="Calibri"/>
                <w:b w:val="0"/>
                <w:i w:val="0"/>
                <w:sz w:val="19"/>
              </w:rPr>
              <w:t>40–55%</w:t>
            </w:r>
          </w:p>
        </w:tc>
      </w:tr>
      <w:tr>
        <w:tc>
          <w:tcPr>
            <w:tcW w:type="dxa" w:w="2448"/>
            <w:shd w:val="clear" w:color="auto" w:fill="FFFFFF"/>
          </w:tcPr>
          <w:p>
            <w:r>
              <w:rPr>
                <w:rFonts w:ascii="Calibri" w:hAnsi="Calibri"/>
                <w:b w:val="0"/>
                <w:i w:val="0"/>
                <w:sz w:val="19"/>
              </w:rPr>
              <w:t>Insurance</w:t>
            </w:r>
          </w:p>
        </w:tc>
        <w:tc>
          <w:tcPr>
            <w:tcW w:type="dxa" w:w="1728"/>
            <w:shd w:val="clear" w:color="auto" w:fill="FFFFFF"/>
          </w:tcPr>
          <w:p>
            <w:r>
              <w:rPr>
                <w:rFonts w:ascii="Calibri" w:hAnsi="Calibri"/>
                <w:b w:val="0"/>
                <w:i w:val="0"/>
                <w:sz w:val="19"/>
              </w:rPr>
              <w:t>&lt; 7%</w:t>
            </w:r>
          </w:p>
        </w:tc>
        <w:tc>
          <w:tcPr>
            <w:tcW w:type="dxa" w:w="1440"/>
            <w:shd w:val="clear" w:color="auto" w:fill="FFFFFF"/>
          </w:tcPr>
          <w:p>
            <w:r>
              <w:rPr>
                <w:rFonts w:ascii="Calibri" w:hAnsi="Calibri"/>
                <w:b w:val="0"/>
                <w:i w:val="0"/>
                <w:sz w:val="19"/>
              </w:rPr>
              <w:t>12%</w:t>
            </w:r>
          </w:p>
        </w:tc>
        <w:tc>
          <w:tcPr>
            <w:tcW w:type="dxa" w:w="1728"/>
            <w:shd w:val="clear" w:color="auto" w:fill="FFFFFF"/>
          </w:tcPr>
          <w:p>
            <w:r>
              <w:rPr>
                <w:rFonts w:ascii="Calibri" w:hAnsi="Calibri"/>
                <w:b w:val="0"/>
                <w:i w:val="0"/>
                <w:sz w:val="19"/>
              </w:rPr>
              <w:t>24%</w:t>
            </w:r>
          </w:p>
        </w:tc>
        <w:tc>
          <w:tcPr>
            <w:tcW w:type="dxa" w:w="2592"/>
            <w:shd w:val="clear" w:color="auto" w:fill="FFFFFF"/>
          </w:tcPr>
          <w:p>
            <w:r>
              <w:rPr>
                <w:rFonts w:ascii="Calibri" w:hAnsi="Calibri"/>
                <w:b w:val="0"/>
                <w:i w:val="0"/>
                <w:sz w:val="19"/>
              </w:rPr>
              <w:t>38–50%</w:t>
            </w:r>
          </w:p>
        </w:tc>
      </w:tr>
      <w:tr>
        <w:tc>
          <w:tcPr>
            <w:tcW w:type="dxa" w:w="2448"/>
            <w:shd w:val="clear" w:color="auto" w:fill="F3F4F6"/>
          </w:tcPr>
          <w:p>
            <w:r>
              <w:rPr>
                <w:rFonts w:ascii="Calibri" w:hAnsi="Calibri"/>
                <w:b w:val="0"/>
                <w:i w:val="0"/>
                <w:sz w:val="19"/>
              </w:rPr>
              <w:t>Capital Markets</w:t>
            </w:r>
          </w:p>
        </w:tc>
        <w:tc>
          <w:tcPr>
            <w:tcW w:type="dxa" w:w="1728"/>
            <w:shd w:val="clear" w:color="auto" w:fill="F3F4F6"/>
          </w:tcPr>
          <w:p>
            <w:r>
              <w:rPr>
                <w:rFonts w:ascii="Calibri" w:hAnsi="Calibri"/>
                <w:b w:val="0"/>
                <w:i w:val="0"/>
                <w:sz w:val="19"/>
              </w:rPr>
              <w:t>&lt; 6%</w:t>
            </w:r>
          </w:p>
        </w:tc>
        <w:tc>
          <w:tcPr>
            <w:tcW w:type="dxa" w:w="1440"/>
            <w:shd w:val="clear" w:color="auto" w:fill="F3F4F6"/>
          </w:tcPr>
          <w:p>
            <w:r>
              <w:rPr>
                <w:rFonts w:ascii="Calibri" w:hAnsi="Calibri"/>
                <w:b w:val="0"/>
                <w:i w:val="0"/>
                <w:sz w:val="19"/>
              </w:rPr>
              <w:t>11%</w:t>
            </w:r>
          </w:p>
        </w:tc>
        <w:tc>
          <w:tcPr>
            <w:tcW w:type="dxa" w:w="1728"/>
            <w:shd w:val="clear" w:color="auto" w:fill="F3F4F6"/>
          </w:tcPr>
          <w:p>
            <w:r>
              <w:rPr>
                <w:rFonts w:ascii="Calibri" w:hAnsi="Calibri"/>
                <w:b w:val="0"/>
                <w:i w:val="0"/>
                <w:sz w:val="19"/>
              </w:rPr>
              <w:t>22%</w:t>
            </w:r>
          </w:p>
        </w:tc>
        <w:tc>
          <w:tcPr>
            <w:tcW w:type="dxa" w:w="2592"/>
            <w:shd w:val="clear" w:color="auto" w:fill="F3F4F6"/>
          </w:tcPr>
          <w:p>
            <w:r>
              <w:rPr>
                <w:rFonts w:ascii="Calibri" w:hAnsi="Calibri"/>
                <w:b w:val="0"/>
                <w:i w:val="0"/>
                <w:sz w:val="19"/>
              </w:rPr>
              <w:t>35–48%</w:t>
            </w:r>
          </w:p>
        </w:tc>
      </w:tr>
      <w:tr>
        <w:tc>
          <w:tcPr>
            <w:tcW w:type="dxa" w:w="2448"/>
            <w:shd w:val="clear" w:color="auto" w:fill="FFFFFF"/>
          </w:tcPr>
          <w:p>
            <w:r>
              <w:rPr>
                <w:rFonts w:ascii="Calibri" w:hAnsi="Calibri"/>
                <w:b w:val="0"/>
                <w:i w:val="0"/>
                <w:sz w:val="19"/>
              </w:rPr>
              <w:t>Payments / Fintech</w:t>
            </w:r>
          </w:p>
        </w:tc>
        <w:tc>
          <w:tcPr>
            <w:tcW w:type="dxa" w:w="1728"/>
            <w:shd w:val="clear" w:color="auto" w:fill="FFFFFF"/>
          </w:tcPr>
          <w:p>
            <w:r>
              <w:rPr>
                <w:rFonts w:ascii="Calibri" w:hAnsi="Calibri"/>
                <w:b w:val="0"/>
                <w:i w:val="0"/>
                <w:sz w:val="19"/>
              </w:rPr>
              <w:t>&lt; 15%</w:t>
            </w:r>
          </w:p>
        </w:tc>
        <w:tc>
          <w:tcPr>
            <w:tcW w:type="dxa" w:w="1440"/>
            <w:shd w:val="clear" w:color="auto" w:fill="FFFFFF"/>
          </w:tcPr>
          <w:p>
            <w:r>
              <w:rPr>
                <w:rFonts w:ascii="Calibri" w:hAnsi="Calibri"/>
                <w:b w:val="0"/>
                <w:i w:val="0"/>
                <w:sz w:val="19"/>
              </w:rPr>
              <w:t>24%</w:t>
            </w:r>
          </w:p>
        </w:tc>
        <w:tc>
          <w:tcPr>
            <w:tcW w:type="dxa" w:w="1728"/>
            <w:shd w:val="clear" w:color="auto" w:fill="FFFFFF"/>
          </w:tcPr>
          <w:p>
            <w:r>
              <w:rPr>
                <w:rFonts w:ascii="Calibri" w:hAnsi="Calibri"/>
                <w:b w:val="0"/>
                <w:i w:val="0"/>
                <w:sz w:val="19"/>
              </w:rPr>
              <w:t>40%</w:t>
            </w:r>
          </w:p>
        </w:tc>
        <w:tc>
          <w:tcPr>
            <w:tcW w:type="dxa" w:w="2592"/>
            <w:shd w:val="clear" w:color="auto" w:fill="FFFFFF"/>
          </w:tcPr>
          <w:p>
            <w:r>
              <w:rPr>
                <w:rFonts w:ascii="Calibri" w:hAnsi="Calibri"/>
                <w:b w:val="0"/>
                <w:i w:val="0"/>
                <w:sz w:val="19"/>
              </w:rPr>
              <w:t>55–70%</w:t>
            </w:r>
          </w:p>
        </w:tc>
      </w:tr>
      <w:tr>
        <w:tc>
          <w:tcPr>
            <w:tcW w:type="dxa" w:w="2448"/>
            <w:shd w:val="clear" w:color="auto" w:fill="F3F4F6"/>
          </w:tcPr>
          <w:p>
            <w:r>
              <w:rPr>
                <w:rFonts w:ascii="Calibri" w:hAnsi="Calibri"/>
                <w:b w:val="0"/>
                <w:i w:val="0"/>
                <w:sz w:val="19"/>
              </w:rPr>
              <w:t>Wealth Management</w:t>
            </w:r>
          </w:p>
        </w:tc>
        <w:tc>
          <w:tcPr>
            <w:tcW w:type="dxa" w:w="1728"/>
            <w:shd w:val="clear" w:color="auto" w:fill="F3F4F6"/>
          </w:tcPr>
          <w:p>
            <w:r>
              <w:rPr>
                <w:rFonts w:ascii="Calibri" w:hAnsi="Calibri"/>
                <w:b w:val="0"/>
                <w:i w:val="0"/>
                <w:sz w:val="19"/>
              </w:rPr>
              <w:t>&lt; 7%</w:t>
            </w:r>
          </w:p>
        </w:tc>
        <w:tc>
          <w:tcPr>
            <w:tcW w:type="dxa" w:w="1440"/>
            <w:shd w:val="clear" w:color="auto" w:fill="F3F4F6"/>
          </w:tcPr>
          <w:p>
            <w:r>
              <w:rPr>
                <w:rFonts w:ascii="Calibri" w:hAnsi="Calibri"/>
                <w:b w:val="0"/>
                <w:i w:val="0"/>
                <w:sz w:val="19"/>
              </w:rPr>
              <w:t>13%</w:t>
            </w:r>
          </w:p>
        </w:tc>
        <w:tc>
          <w:tcPr>
            <w:tcW w:type="dxa" w:w="1728"/>
            <w:shd w:val="clear" w:color="auto" w:fill="F3F4F6"/>
          </w:tcPr>
          <w:p>
            <w:r>
              <w:rPr>
                <w:rFonts w:ascii="Calibri" w:hAnsi="Calibri"/>
                <w:b w:val="0"/>
                <w:i w:val="0"/>
                <w:sz w:val="19"/>
              </w:rPr>
              <w:t>25%</w:t>
            </w:r>
          </w:p>
        </w:tc>
        <w:tc>
          <w:tcPr>
            <w:tcW w:type="dxa" w:w="2592"/>
            <w:shd w:val="clear" w:color="auto" w:fill="F3F4F6"/>
          </w:tcPr>
          <w:p>
            <w:r>
              <w:rPr>
                <w:rFonts w:ascii="Calibri" w:hAnsi="Calibri"/>
                <w:b w:val="0"/>
                <w:i w:val="0"/>
                <w:sz w:val="19"/>
              </w:rPr>
              <w:t>38–52%</w:t>
            </w:r>
          </w:p>
        </w:tc>
      </w:tr>
    </w:tbl>
    <w:p/>
    <w:p>
      <w:pPr>
        <w:spacing w:before="240" w:after="80"/>
      </w:pPr>
      <w:r>
        <w:rPr>
          <w:rFonts w:ascii="Calibri" w:hAnsi="Calibri"/>
          <w:b/>
          <w:i w:val="0"/>
          <w:color w:val="2563EB"/>
          <w:sz w:val="26"/>
        </w:rPr>
        <w:t>DORA Performance Distribution (Financial Services)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F2D5E"/>
          </w:tcPr>
          <w:p>
            <w:r>
              <w:rPr>
                <w:rFonts w:ascii="Calibri" w:hAnsi="Calibri"/>
                <w:b/>
                <w:i w:val="0"/>
                <w:color w:val="FFFFFF"/>
                <w:sz w:val="19"/>
              </w:rPr>
              <w:t>DORA Level</w:t>
            </w:r>
          </w:p>
        </w:tc>
        <w:tc>
          <w:tcPr>
            <w:tcW w:type="dxa" w:w="1872"/>
            <w:shd w:val="clear" w:color="auto" w:fill="0F2D5E"/>
          </w:tcPr>
          <w:p>
            <w:r>
              <w:rPr>
                <w:rFonts w:ascii="Calibri" w:hAnsi="Calibri"/>
                <w:b/>
                <w:i w:val="0"/>
                <w:color w:val="FFFFFF"/>
                <w:sz w:val="19"/>
              </w:rPr>
              <w:t>% of FS Teams</w:t>
            </w:r>
          </w:p>
        </w:tc>
        <w:tc>
          <w:tcPr>
            <w:tcW w:type="dxa" w:w="2160"/>
            <w:shd w:val="clear" w:color="auto" w:fill="0F2D5E"/>
          </w:tcPr>
          <w:p>
            <w:r>
              <w:rPr>
                <w:rFonts w:ascii="Calibri" w:hAnsi="Calibri"/>
                <w:b/>
                <w:i w:val="0"/>
                <w:color w:val="FFFFFF"/>
                <w:sz w:val="19"/>
              </w:rPr>
              <w:t>Deployment Frequency</w:t>
            </w:r>
          </w:p>
        </w:tc>
        <w:tc>
          <w:tcPr>
            <w:tcW w:type="dxa" w:w="1728"/>
            <w:shd w:val="clear" w:color="auto" w:fill="0F2D5E"/>
          </w:tcPr>
          <w:p>
            <w:r>
              <w:rPr>
                <w:rFonts w:ascii="Calibri" w:hAnsi="Calibri"/>
                <w:b/>
                <w:i w:val="0"/>
                <w:color w:val="FFFFFF"/>
                <w:sz w:val="19"/>
              </w:rPr>
              <w:t>MTTR</w:t>
            </w:r>
          </w:p>
        </w:tc>
        <w:tc>
          <w:tcPr>
            <w:tcW w:type="dxa" w:w="2160"/>
            <w:shd w:val="clear" w:color="auto" w:fill="0F2D5E"/>
          </w:tcPr>
          <w:p>
            <w:r>
              <w:rPr>
                <w:rFonts w:ascii="Calibri" w:hAnsi="Calibri"/>
                <w:b/>
                <w:i w:val="0"/>
                <w:color w:val="FFFFFF"/>
                <w:sz w:val="19"/>
              </w:rPr>
              <w:t>Change Failure Rate</w:t>
            </w:r>
          </w:p>
        </w:tc>
      </w:tr>
      <w:tr>
        <w:tc>
          <w:tcPr>
            <w:tcW w:type="dxa" w:w="1872"/>
            <w:shd w:val="clear" w:color="auto" w:fill="F3F4F6"/>
          </w:tcPr>
          <w:p>
            <w:r>
              <w:rPr>
                <w:rFonts w:ascii="Calibri" w:hAnsi="Calibri"/>
                <w:b w:val="0"/>
                <w:i w:val="0"/>
                <w:sz w:val="19"/>
              </w:rPr>
              <w:t>Elite</w:t>
            </w:r>
          </w:p>
        </w:tc>
        <w:tc>
          <w:tcPr>
            <w:tcW w:type="dxa" w:w="1872"/>
            <w:shd w:val="clear" w:color="auto" w:fill="F3F4F6"/>
          </w:tcPr>
          <w:p>
            <w:r>
              <w:rPr>
                <w:rFonts w:ascii="Calibri" w:hAnsi="Calibri"/>
                <w:b w:val="0"/>
                <w:i w:val="0"/>
                <w:sz w:val="19"/>
              </w:rPr>
              <w:t>8%</w:t>
            </w:r>
          </w:p>
        </w:tc>
        <w:tc>
          <w:tcPr>
            <w:tcW w:type="dxa" w:w="2160"/>
            <w:shd w:val="clear" w:color="auto" w:fill="F3F4F6"/>
          </w:tcPr>
          <w:p>
            <w:r>
              <w:rPr>
                <w:rFonts w:ascii="Calibri" w:hAnsi="Calibri"/>
                <w:b w:val="0"/>
                <w:i w:val="0"/>
                <w:sz w:val="19"/>
              </w:rPr>
              <w:t>Multiple/day</w:t>
            </w:r>
          </w:p>
        </w:tc>
        <w:tc>
          <w:tcPr>
            <w:tcW w:type="dxa" w:w="1728"/>
            <w:shd w:val="clear" w:color="auto" w:fill="F3F4F6"/>
          </w:tcPr>
          <w:p>
            <w:r>
              <w:rPr>
                <w:rFonts w:ascii="Calibri" w:hAnsi="Calibri"/>
                <w:b w:val="0"/>
                <w:i w:val="0"/>
                <w:sz w:val="19"/>
              </w:rPr>
              <w:t>&lt; 1 hour</w:t>
            </w:r>
          </w:p>
        </w:tc>
        <w:tc>
          <w:tcPr>
            <w:tcW w:type="dxa" w:w="2160"/>
            <w:shd w:val="clear" w:color="auto" w:fill="F3F4F6"/>
          </w:tcPr>
          <w:p>
            <w:r>
              <w:rPr>
                <w:rFonts w:ascii="Calibri" w:hAnsi="Calibri"/>
                <w:b w:val="0"/>
                <w:i w:val="0"/>
                <w:sz w:val="19"/>
              </w:rPr>
              <w:t>&lt; 5%</w:t>
            </w:r>
          </w:p>
        </w:tc>
      </w:tr>
      <w:tr>
        <w:tc>
          <w:tcPr>
            <w:tcW w:type="dxa" w:w="1872"/>
            <w:shd w:val="clear" w:color="auto" w:fill="FFFFFF"/>
          </w:tcPr>
          <w:p>
            <w:r>
              <w:rPr>
                <w:rFonts w:ascii="Calibri" w:hAnsi="Calibri"/>
                <w:b w:val="0"/>
                <w:i w:val="0"/>
                <w:sz w:val="19"/>
              </w:rPr>
              <w:t>High</w:t>
            </w:r>
          </w:p>
        </w:tc>
        <w:tc>
          <w:tcPr>
            <w:tcW w:type="dxa" w:w="1872"/>
            <w:shd w:val="clear" w:color="auto" w:fill="FFFFFF"/>
          </w:tcPr>
          <w:p>
            <w:r>
              <w:rPr>
                <w:rFonts w:ascii="Calibri" w:hAnsi="Calibri"/>
                <w:b w:val="0"/>
                <w:i w:val="0"/>
                <w:sz w:val="19"/>
              </w:rPr>
              <w:t>22%</w:t>
            </w:r>
          </w:p>
        </w:tc>
        <w:tc>
          <w:tcPr>
            <w:tcW w:type="dxa" w:w="2160"/>
            <w:shd w:val="clear" w:color="auto" w:fill="FFFFFF"/>
          </w:tcPr>
          <w:p>
            <w:r>
              <w:rPr>
                <w:rFonts w:ascii="Calibri" w:hAnsi="Calibri"/>
                <w:b w:val="0"/>
                <w:i w:val="0"/>
                <w:sz w:val="19"/>
              </w:rPr>
              <w:t>Weekly–daily</w:t>
            </w:r>
          </w:p>
        </w:tc>
        <w:tc>
          <w:tcPr>
            <w:tcW w:type="dxa" w:w="1728"/>
            <w:shd w:val="clear" w:color="auto" w:fill="FFFFFF"/>
          </w:tcPr>
          <w:p>
            <w:r>
              <w:rPr>
                <w:rFonts w:ascii="Calibri" w:hAnsi="Calibri"/>
                <w:b w:val="0"/>
                <w:i w:val="0"/>
                <w:sz w:val="19"/>
              </w:rPr>
              <w:t>&lt; 1 day</w:t>
            </w:r>
          </w:p>
        </w:tc>
        <w:tc>
          <w:tcPr>
            <w:tcW w:type="dxa" w:w="2160"/>
            <w:shd w:val="clear" w:color="auto" w:fill="FFFFFF"/>
          </w:tcPr>
          <w:p>
            <w:r>
              <w:rPr>
                <w:rFonts w:ascii="Calibri" w:hAnsi="Calibri"/>
                <w:b w:val="0"/>
                <w:i w:val="0"/>
                <w:sz w:val="19"/>
              </w:rPr>
              <w:t>5–10%</w:t>
            </w:r>
          </w:p>
        </w:tc>
      </w:tr>
      <w:tr>
        <w:tc>
          <w:tcPr>
            <w:tcW w:type="dxa" w:w="1872"/>
            <w:shd w:val="clear" w:color="auto" w:fill="F3F4F6"/>
          </w:tcPr>
          <w:p>
            <w:r>
              <w:rPr>
                <w:rFonts w:ascii="Calibri" w:hAnsi="Calibri"/>
                <w:b w:val="0"/>
                <w:i w:val="0"/>
                <w:sz w:val="19"/>
              </w:rPr>
              <w:t>Medium</w:t>
            </w:r>
          </w:p>
        </w:tc>
        <w:tc>
          <w:tcPr>
            <w:tcW w:type="dxa" w:w="1872"/>
            <w:shd w:val="clear" w:color="auto" w:fill="F3F4F6"/>
          </w:tcPr>
          <w:p>
            <w:r>
              <w:rPr>
                <w:rFonts w:ascii="Calibri" w:hAnsi="Calibri"/>
                <w:b w:val="0"/>
                <w:i w:val="0"/>
                <w:sz w:val="19"/>
              </w:rPr>
              <w:t>41%</w:t>
            </w:r>
          </w:p>
        </w:tc>
        <w:tc>
          <w:tcPr>
            <w:tcW w:type="dxa" w:w="2160"/>
            <w:shd w:val="clear" w:color="auto" w:fill="F3F4F6"/>
          </w:tcPr>
          <w:p>
            <w:r>
              <w:rPr>
                <w:rFonts w:ascii="Calibri" w:hAnsi="Calibri"/>
                <w:b w:val="0"/>
                <w:i w:val="0"/>
                <w:sz w:val="19"/>
              </w:rPr>
              <w:t>Monthly–weekly</w:t>
            </w:r>
          </w:p>
        </w:tc>
        <w:tc>
          <w:tcPr>
            <w:tcW w:type="dxa" w:w="1728"/>
            <w:shd w:val="clear" w:color="auto" w:fill="F3F4F6"/>
          </w:tcPr>
          <w:p>
            <w:r>
              <w:rPr>
                <w:rFonts w:ascii="Calibri" w:hAnsi="Calibri"/>
                <w:b w:val="0"/>
                <w:i w:val="0"/>
                <w:sz w:val="19"/>
              </w:rPr>
              <w:t>1 day–1 week</w:t>
            </w:r>
          </w:p>
        </w:tc>
        <w:tc>
          <w:tcPr>
            <w:tcW w:type="dxa" w:w="2160"/>
            <w:shd w:val="clear" w:color="auto" w:fill="F3F4F6"/>
          </w:tcPr>
          <w:p>
            <w:r>
              <w:rPr>
                <w:rFonts w:ascii="Calibri" w:hAnsi="Calibri"/>
                <w:b w:val="0"/>
                <w:i w:val="0"/>
                <w:sz w:val="19"/>
              </w:rPr>
              <w:t>10–15%</w:t>
            </w:r>
          </w:p>
        </w:tc>
      </w:tr>
      <w:tr>
        <w:tc>
          <w:tcPr>
            <w:tcW w:type="dxa" w:w="1872"/>
            <w:shd w:val="clear" w:color="auto" w:fill="FFFFFF"/>
          </w:tcPr>
          <w:p>
            <w:r>
              <w:rPr>
                <w:rFonts w:ascii="Calibri" w:hAnsi="Calibri"/>
                <w:b w:val="0"/>
                <w:i w:val="0"/>
                <w:sz w:val="19"/>
              </w:rPr>
              <w:t>Low</w:t>
            </w:r>
          </w:p>
        </w:tc>
        <w:tc>
          <w:tcPr>
            <w:tcW w:type="dxa" w:w="1872"/>
            <w:shd w:val="clear" w:color="auto" w:fill="FFFFFF"/>
          </w:tcPr>
          <w:p>
            <w:r>
              <w:rPr>
                <w:rFonts w:ascii="Calibri" w:hAnsi="Calibri"/>
                <w:b w:val="0"/>
                <w:i w:val="0"/>
                <w:sz w:val="19"/>
              </w:rPr>
              <w:t>29%</w:t>
            </w:r>
          </w:p>
        </w:tc>
        <w:tc>
          <w:tcPr>
            <w:tcW w:type="dxa" w:w="2160"/>
            <w:shd w:val="clear" w:color="auto" w:fill="FFFFFF"/>
          </w:tcPr>
          <w:p>
            <w:r>
              <w:rPr>
                <w:rFonts w:ascii="Calibri" w:hAnsi="Calibri"/>
                <w:b w:val="0"/>
                <w:i w:val="0"/>
                <w:sz w:val="19"/>
              </w:rPr>
              <w:t>Monthly or less</w:t>
            </w:r>
          </w:p>
        </w:tc>
        <w:tc>
          <w:tcPr>
            <w:tcW w:type="dxa" w:w="1728"/>
            <w:shd w:val="clear" w:color="auto" w:fill="FFFFFF"/>
          </w:tcPr>
          <w:p>
            <w:r>
              <w:rPr>
                <w:rFonts w:ascii="Calibri" w:hAnsi="Calibri"/>
                <w:b w:val="0"/>
                <w:i w:val="0"/>
                <w:sz w:val="19"/>
              </w:rPr>
              <w:t>&gt; 1 week</w:t>
            </w:r>
          </w:p>
        </w:tc>
        <w:tc>
          <w:tcPr>
            <w:tcW w:type="dxa" w:w="2160"/>
            <w:shd w:val="clear" w:color="auto" w:fill="FFFFFF"/>
          </w:tcPr>
          <w:p>
            <w:r>
              <w:rPr>
                <w:rFonts w:ascii="Calibri" w:hAnsi="Calibri"/>
                <w:b w:val="0"/>
                <w:i w:val="0"/>
                <w:sz w:val="19"/>
              </w:rPr>
              <w:t>&gt; 15%</w:t>
            </w:r>
          </w:p>
        </w:tc>
      </w:tr>
    </w:tbl>
    <w:p/>
    <w:p>
      <w:pPr>
        <w:spacing w:after="80"/>
      </w:pPr>
      <w:r>
        <w:rPr>
          <w:rFonts w:ascii="Calibri" w:hAnsi="Calibri"/>
          <w:b w:val="0"/>
          <w:i w:val="0"/>
          <w:sz w:val="21"/>
        </w:rPr>
        <w:t>Note: 71% of financial services teams operate at Medium or Low DORA performance. This is the primary driver of PDLC transformation urgency in the sector.</w:t>
      </w:r>
    </w:p>
    <w:p>
      <w:pPr>
        <w:spacing w:before="60" w:after="60"/>
        <w:pBdr>
          <w:bottom w:val="single" w:sz="6" w:space="1" w:color="2563EB"/>
        </w:pBdr>
      </w:pPr>
    </w:p>
    <w:p>
      <w:pPr>
        <w:spacing w:before="400" w:after="120"/>
      </w:pPr>
      <w:r>
        <w:rPr>
          <w:rFonts w:ascii="Calibri" w:hAnsi="Calibri"/>
          <w:b/>
          <w:i w:val="0"/>
          <w:color w:val="0F2D5E"/>
          <w:sz w:val="32"/>
        </w:rPr>
        <w:t>Section 2: Benchmarks by AI Transformation Maturity</w:t>
      </w:r>
    </w:p>
    <w:p>
      <w:pPr>
        <w:spacing w:after="80"/>
      </w:pPr>
      <w:r>
        <w:rPr>
          <w:rFonts w:ascii="Calibri" w:hAnsi="Calibri"/>
          <w:b w:val="0"/>
          <w:i w:val="0"/>
          <w:sz w:val="21"/>
        </w:rPr>
        <w:t>The most significant performance differentiator in the 2025 benchmark data is not team size, budget, or tooling — it is AI transformation maturity. We segment teams into four maturity levels based on their adoption of AI in the PDLC.</w:t>
      </w:r>
    </w:p>
    <w:p>
      <w:pPr>
        <w:spacing w:before="240" w:after="80"/>
      </w:pPr>
      <w:r>
        <w:rPr>
          <w:rFonts w:ascii="Calibri" w:hAnsi="Calibri"/>
          <w:b/>
          <w:i w:val="0"/>
          <w:color w:val="2563EB"/>
          <w:sz w:val="26"/>
        </w:rPr>
        <w:t>Maturity Level Definitions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0F2D5E"/>
          </w:tcPr>
          <w:p>
            <w:r>
              <w:rPr>
                <w:rFonts w:ascii="Calibri" w:hAnsi="Calibri"/>
                <w:b/>
                <w:i w:val="0"/>
                <w:color w:val="FFFFFF"/>
                <w:sz w:val="19"/>
              </w:rPr>
              <w:t>Level</w:t>
            </w:r>
          </w:p>
        </w:tc>
        <w:tc>
          <w:tcPr>
            <w:tcW w:type="dxa" w:w="4608"/>
            <w:shd w:val="clear" w:color="auto" w:fill="0F2D5E"/>
          </w:tcPr>
          <w:p>
            <w:r>
              <w:rPr>
                <w:rFonts w:ascii="Calibri" w:hAnsi="Calibri"/>
                <w:b/>
                <w:i w:val="0"/>
                <w:color w:val="FFFFFF"/>
                <w:sz w:val="19"/>
              </w:rPr>
              <w:t>Description</w:t>
            </w:r>
          </w:p>
        </w:tc>
        <w:tc>
          <w:tcPr>
            <w:tcW w:type="dxa" w:w="1440"/>
            <w:shd w:val="clear" w:color="auto" w:fill="0F2D5E"/>
          </w:tcPr>
          <w:p>
            <w:r>
              <w:rPr>
                <w:rFonts w:ascii="Calibri" w:hAnsi="Calibri"/>
                <w:b/>
                <w:i w:val="0"/>
                <w:color w:val="FFFFFF"/>
                <w:sz w:val="19"/>
              </w:rPr>
              <w:t>% of FS Teams</w:t>
            </w:r>
          </w:p>
        </w:tc>
      </w:tr>
      <w:tr>
        <w:tc>
          <w:tcPr>
            <w:tcW w:type="dxa" w:w="2880"/>
            <w:shd w:val="clear" w:color="auto" w:fill="F3F4F6"/>
          </w:tcPr>
          <w:p>
            <w:r>
              <w:rPr>
                <w:rFonts w:ascii="Calibri" w:hAnsi="Calibri"/>
                <w:b w:val="0"/>
                <w:i w:val="0"/>
                <w:sz w:val="19"/>
              </w:rPr>
              <w:t>Level 0 — Pre-Augment</w:t>
            </w:r>
          </w:p>
        </w:tc>
        <w:tc>
          <w:tcPr>
            <w:tcW w:type="dxa" w:w="4608"/>
            <w:shd w:val="clear" w:color="auto" w:fill="F3F4F6"/>
          </w:tcPr>
          <w:p>
            <w:r>
              <w:rPr>
                <w:rFonts w:ascii="Calibri" w:hAnsi="Calibri"/>
                <w:b w:val="0"/>
                <w:i w:val="0"/>
                <w:sz w:val="19"/>
              </w:rPr>
              <w:t>No structured AI in the PDLC. Manual processes, siloed tools, no VSM.</w:t>
            </w:r>
          </w:p>
        </w:tc>
        <w:tc>
          <w:tcPr>
            <w:tcW w:type="dxa" w:w="1440"/>
            <w:shd w:val="clear" w:color="auto" w:fill="F3F4F6"/>
          </w:tcPr>
          <w:p>
            <w:r>
              <w:rPr>
                <w:rFonts w:ascii="Calibri" w:hAnsi="Calibri"/>
                <w:b w:val="0"/>
                <w:i w:val="0"/>
                <w:sz w:val="19"/>
              </w:rPr>
              <w:t>38%</w:t>
            </w:r>
          </w:p>
        </w:tc>
      </w:tr>
      <w:tr>
        <w:tc>
          <w:tcPr>
            <w:tcW w:type="dxa" w:w="2880"/>
            <w:shd w:val="clear" w:color="auto" w:fill="FFFFFF"/>
          </w:tcPr>
          <w:p>
            <w:r>
              <w:rPr>
                <w:rFonts w:ascii="Calibri" w:hAnsi="Calibri"/>
                <w:b w:val="0"/>
                <w:i w:val="0"/>
                <w:sz w:val="19"/>
              </w:rPr>
              <w:t>Level 1 — AI-Augmented (Option A)</w:t>
            </w:r>
          </w:p>
        </w:tc>
        <w:tc>
          <w:tcPr>
            <w:tcW w:type="dxa" w:w="4608"/>
            <w:shd w:val="clear" w:color="auto" w:fill="FFFFFF"/>
          </w:tcPr>
          <w:p>
            <w:r>
              <w:rPr>
                <w:rFonts w:ascii="Calibri" w:hAnsi="Calibri"/>
                <w:b w:val="0"/>
                <w:i w:val="0"/>
                <w:sz w:val="19"/>
              </w:rPr>
              <w:t>AI tools assist at isolated steps. Copilot, AI code review, basic automation.</w:t>
            </w:r>
          </w:p>
        </w:tc>
        <w:tc>
          <w:tcPr>
            <w:tcW w:type="dxa" w:w="1440"/>
            <w:shd w:val="clear" w:color="auto" w:fill="FFFFFF"/>
          </w:tcPr>
          <w:p>
            <w:r>
              <w:rPr>
                <w:rFonts w:ascii="Calibri" w:hAnsi="Calibri"/>
                <w:b w:val="0"/>
                <w:i w:val="0"/>
                <w:sz w:val="19"/>
              </w:rPr>
              <w:t>34%</w:t>
            </w:r>
          </w:p>
        </w:tc>
      </w:tr>
      <w:tr>
        <w:tc>
          <w:tcPr>
            <w:tcW w:type="dxa" w:w="2880"/>
            <w:shd w:val="clear" w:color="auto" w:fill="F3F4F6"/>
          </w:tcPr>
          <w:p>
            <w:r>
              <w:rPr>
                <w:rFonts w:ascii="Calibri" w:hAnsi="Calibri"/>
                <w:b w:val="0"/>
                <w:i w:val="0"/>
                <w:sz w:val="19"/>
              </w:rPr>
              <w:t>Level 2 — Agent + Gates (Option B)</w:t>
            </w:r>
          </w:p>
        </w:tc>
        <w:tc>
          <w:tcPr>
            <w:tcW w:type="dxa" w:w="4608"/>
            <w:shd w:val="clear" w:color="auto" w:fill="F3F4F6"/>
          </w:tcPr>
          <w:p>
            <w:r>
              <w:rPr>
                <w:rFonts w:ascii="Calibri" w:hAnsi="Calibri"/>
                <w:b w:val="0"/>
                <w:i w:val="0"/>
                <w:sz w:val="19"/>
              </w:rPr>
              <w:t>AI agents execute process steps. Human approval at strategic gates.</w:t>
            </w:r>
          </w:p>
        </w:tc>
        <w:tc>
          <w:tcPr>
            <w:tcW w:type="dxa" w:w="1440"/>
            <w:shd w:val="clear" w:color="auto" w:fill="F3F4F6"/>
          </w:tcPr>
          <w:p>
            <w:r>
              <w:rPr>
                <w:rFonts w:ascii="Calibri" w:hAnsi="Calibri"/>
                <w:b w:val="0"/>
                <w:i w:val="0"/>
                <w:sz w:val="19"/>
              </w:rPr>
              <w:t>22%</w:t>
            </w:r>
          </w:p>
        </w:tc>
      </w:tr>
      <w:tr>
        <w:tc>
          <w:tcPr>
            <w:tcW w:type="dxa" w:w="2880"/>
            <w:shd w:val="clear" w:color="auto" w:fill="FFFFFF"/>
          </w:tcPr>
          <w:p>
            <w:r>
              <w:rPr>
                <w:rFonts w:ascii="Calibri" w:hAnsi="Calibri"/>
                <w:b w:val="0"/>
                <w:i w:val="0"/>
                <w:sz w:val="19"/>
              </w:rPr>
              <w:t>Level 3 — Agentic (Option C)</w:t>
            </w:r>
          </w:p>
        </w:tc>
        <w:tc>
          <w:tcPr>
            <w:tcW w:type="dxa" w:w="4608"/>
            <w:shd w:val="clear" w:color="auto" w:fill="FFFFFF"/>
          </w:tcPr>
          <w:p>
            <w:r>
              <w:rPr>
                <w:rFonts w:ascii="Calibri" w:hAnsi="Calibri"/>
                <w:b w:val="0"/>
                <w:i w:val="0"/>
                <w:sz w:val="19"/>
              </w:rPr>
              <w:t>AI runs end-to-end PDLC. Humans set direction and review outcomes.</w:t>
            </w:r>
          </w:p>
        </w:tc>
        <w:tc>
          <w:tcPr>
            <w:tcW w:type="dxa" w:w="1440"/>
            <w:shd w:val="clear" w:color="auto" w:fill="FFFFFF"/>
          </w:tcPr>
          <w:p>
            <w:r>
              <w:rPr>
                <w:rFonts w:ascii="Calibri" w:hAnsi="Calibri"/>
                <w:b w:val="0"/>
                <w:i w:val="0"/>
                <w:sz w:val="19"/>
              </w:rPr>
              <w:t>6%</w:t>
            </w:r>
          </w:p>
        </w:tc>
      </w:tr>
    </w:tbl>
    <w:p/>
    <w:p>
      <w:pPr>
        <w:spacing w:before="240" w:after="80"/>
      </w:pPr>
      <w:r>
        <w:rPr>
          <w:rFonts w:ascii="Calibri" w:hAnsi="Calibri"/>
          <w:b/>
          <w:i w:val="0"/>
          <w:color w:val="2563EB"/>
          <w:sz w:val="26"/>
        </w:rPr>
        <w:t>Performance by Maturity Level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600"/>
            <w:shd w:val="clear" w:color="auto" w:fill="0F2D5E"/>
          </w:tcPr>
          <w:p>
            <w:r>
              <w:rPr>
                <w:rFonts w:ascii="Calibri" w:hAnsi="Calibri"/>
                <w:b/>
                <w:i w:val="0"/>
                <w:color w:val="FFFFFF"/>
                <w:sz w:val="19"/>
              </w:rPr>
              <w:t>Metric</w:t>
            </w:r>
          </w:p>
        </w:tc>
        <w:tc>
          <w:tcPr>
            <w:tcW w:type="dxa" w:w="1296"/>
            <w:shd w:val="clear" w:color="auto" w:fill="0F2D5E"/>
          </w:tcPr>
          <w:p>
            <w:r>
              <w:rPr>
                <w:rFonts w:ascii="Calibri" w:hAnsi="Calibri"/>
                <w:b/>
                <w:i w:val="0"/>
                <w:color w:val="FFFFFF"/>
                <w:sz w:val="19"/>
              </w:rPr>
              <w:t>Level 0</w:t>
            </w:r>
          </w:p>
        </w:tc>
        <w:tc>
          <w:tcPr>
            <w:tcW w:type="dxa" w:w="1440"/>
            <w:shd w:val="clear" w:color="auto" w:fill="0F2D5E"/>
          </w:tcPr>
          <w:p>
            <w:r>
              <w:rPr>
                <w:rFonts w:ascii="Calibri" w:hAnsi="Calibri"/>
                <w:b/>
                <w:i w:val="0"/>
                <w:color w:val="FFFFFF"/>
                <w:sz w:val="19"/>
              </w:rPr>
              <w:t>Level 1 (A)</w:t>
            </w:r>
          </w:p>
        </w:tc>
        <w:tc>
          <w:tcPr>
            <w:tcW w:type="dxa" w:w="1440"/>
            <w:shd w:val="clear" w:color="auto" w:fill="0F2D5E"/>
          </w:tcPr>
          <w:p>
            <w:r>
              <w:rPr>
                <w:rFonts w:ascii="Calibri" w:hAnsi="Calibri"/>
                <w:b/>
                <w:i w:val="0"/>
                <w:color w:val="FFFFFF"/>
                <w:sz w:val="19"/>
              </w:rPr>
              <w:t>Level 2 (B)</w:t>
            </w:r>
          </w:p>
        </w:tc>
        <w:tc>
          <w:tcPr>
            <w:tcW w:type="dxa" w:w="1440"/>
            <w:shd w:val="clear" w:color="auto" w:fill="0F2D5E"/>
          </w:tcPr>
          <w:p>
            <w:r>
              <w:rPr>
                <w:rFonts w:ascii="Calibri" w:hAnsi="Calibri"/>
                <w:b/>
                <w:i w:val="0"/>
                <w:color w:val="FFFFFF"/>
                <w:sz w:val="19"/>
              </w:rPr>
              <w:t>Level 3 (C)</w:t>
            </w:r>
          </w:p>
        </w:tc>
      </w:tr>
      <w:tr>
        <w:tc>
          <w:tcPr>
            <w:tcW w:type="dxa" w:w="3600"/>
            <w:shd w:val="clear" w:color="auto" w:fill="F3F4F6"/>
          </w:tcPr>
          <w:p>
            <w:r>
              <w:rPr>
                <w:rFonts w:ascii="Calibri" w:hAnsi="Calibri"/>
                <w:b w:val="0"/>
                <w:i w:val="0"/>
                <w:sz w:val="19"/>
              </w:rPr>
              <w:t>Median Lead Time</w:t>
            </w:r>
          </w:p>
        </w:tc>
        <w:tc>
          <w:tcPr>
            <w:tcW w:type="dxa" w:w="1296"/>
            <w:shd w:val="clear" w:color="auto" w:fill="F3F4F6"/>
          </w:tcPr>
          <w:p>
            <w:r>
              <w:rPr>
                <w:rFonts w:ascii="Calibri" w:hAnsi="Calibri"/>
                <w:b w:val="0"/>
                <w:i w:val="0"/>
                <w:sz w:val="19"/>
              </w:rPr>
              <w:t>42 days</w:t>
            </w:r>
          </w:p>
        </w:tc>
        <w:tc>
          <w:tcPr>
            <w:tcW w:type="dxa" w:w="1440"/>
            <w:shd w:val="clear" w:color="auto" w:fill="F3F4F6"/>
          </w:tcPr>
          <w:p>
            <w:r>
              <w:rPr>
                <w:rFonts w:ascii="Calibri" w:hAnsi="Calibri"/>
                <w:b w:val="0"/>
                <w:i w:val="0"/>
                <w:sz w:val="19"/>
              </w:rPr>
              <w:t>31 days</w:t>
            </w:r>
          </w:p>
        </w:tc>
        <w:tc>
          <w:tcPr>
            <w:tcW w:type="dxa" w:w="1440"/>
            <w:shd w:val="clear" w:color="auto" w:fill="F3F4F6"/>
          </w:tcPr>
          <w:p>
            <w:r>
              <w:rPr>
                <w:rFonts w:ascii="Calibri" w:hAnsi="Calibri"/>
                <w:b w:val="0"/>
                <w:i w:val="0"/>
                <w:sz w:val="19"/>
              </w:rPr>
              <w:t>19 days</w:t>
            </w:r>
          </w:p>
        </w:tc>
        <w:tc>
          <w:tcPr>
            <w:tcW w:type="dxa" w:w="1440"/>
            <w:shd w:val="clear" w:color="auto" w:fill="F3F4F6"/>
          </w:tcPr>
          <w:p>
            <w:r>
              <w:rPr>
                <w:rFonts w:ascii="Calibri" w:hAnsi="Calibri"/>
                <w:b w:val="0"/>
                <w:i w:val="0"/>
                <w:sz w:val="19"/>
              </w:rPr>
              <w:t>10 days</w:t>
            </w:r>
          </w:p>
        </w:tc>
      </w:tr>
      <w:tr>
        <w:tc>
          <w:tcPr>
            <w:tcW w:type="dxa" w:w="3600"/>
            <w:shd w:val="clear" w:color="auto" w:fill="FFFFFF"/>
          </w:tcPr>
          <w:p>
            <w:r>
              <w:rPr>
                <w:rFonts w:ascii="Calibri" w:hAnsi="Calibri"/>
                <w:b w:val="0"/>
                <w:i w:val="0"/>
                <w:sz w:val="19"/>
              </w:rPr>
              <w:t>Median Flow Efficiency</w:t>
            </w:r>
          </w:p>
        </w:tc>
        <w:tc>
          <w:tcPr>
            <w:tcW w:type="dxa" w:w="1296"/>
            <w:shd w:val="clear" w:color="auto" w:fill="FFFFFF"/>
          </w:tcPr>
          <w:p>
            <w:r>
              <w:rPr>
                <w:rFonts w:ascii="Calibri" w:hAnsi="Calibri"/>
                <w:b w:val="0"/>
                <w:i w:val="0"/>
                <w:sz w:val="19"/>
              </w:rPr>
              <w:t>14%</w:t>
            </w:r>
          </w:p>
        </w:tc>
        <w:tc>
          <w:tcPr>
            <w:tcW w:type="dxa" w:w="1440"/>
            <w:shd w:val="clear" w:color="auto" w:fill="FFFFFF"/>
          </w:tcPr>
          <w:p>
            <w:r>
              <w:rPr>
                <w:rFonts w:ascii="Calibri" w:hAnsi="Calibri"/>
                <w:b w:val="0"/>
                <w:i w:val="0"/>
                <w:sz w:val="19"/>
              </w:rPr>
              <w:t>21%</w:t>
            </w:r>
          </w:p>
        </w:tc>
        <w:tc>
          <w:tcPr>
            <w:tcW w:type="dxa" w:w="1440"/>
            <w:shd w:val="clear" w:color="auto" w:fill="FFFFFF"/>
          </w:tcPr>
          <w:p>
            <w:r>
              <w:rPr>
                <w:rFonts w:ascii="Calibri" w:hAnsi="Calibri"/>
                <w:b w:val="0"/>
                <w:i w:val="0"/>
                <w:sz w:val="19"/>
              </w:rPr>
              <w:t>38%</w:t>
            </w:r>
          </w:p>
        </w:tc>
        <w:tc>
          <w:tcPr>
            <w:tcW w:type="dxa" w:w="1440"/>
            <w:shd w:val="clear" w:color="auto" w:fill="FFFFFF"/>
          </w:tcPr>
          <w:p>
            <w:r>
              <w:rPr>
                <w:rFonts w:ascii="Calibri" w:hAnsi="Calibri"/>
                <w:b w:val="0"/>
                <w:i w:val="0"/>
                <w:sz w:val="19"/>
              </w:rPr>
              <w:t>59%</w:t>
            </w:r>
          </w:p>
        </w:tc>
      </w:tr>
      <w:tr>
        <w:tc>
          <w:tcPr>
            <w:tcW w:type="dxa" w:w="3600"/>
            <w:shd w:val="clear" w:color="auto" w:fill="F3F4F6"/>
          </w:tcPr>
          <w:p>
            <w:r>
              <w:rPr>
                <w:rFonts w:ascii="Calibri" w:hAnsi="Calibri"/>
                <w:b w:val="0"/>
                <w:i w:val="0"/>
                <w:sz w:val="19"/>
              </w:rPr>
              <w:t>Median Defect Escape Rate</w:t>
            </w:r>
          </w:p>
        </w:tc>
        <w:tc>
          <w:tcPr>
            <w:tcW w:type="dxa" w:w="1296"/>
            <w:shd w:val="clear" w:color="auto" w:fill="F3F4F6"/>
          </w:tcPr>
          <w:p>
            <w:r>
              <w:rPr>
                <w:rFonts w:ascii="Calibri" w:hAnsi="Calibri"/>
                <w:b w:val="0"/>
                <w:i w:val="0"/>
                <w:sz w:val="19"/>
              </w:rPr>
              <w:t>22%</w:t>
            </w:r>
          </w:p>
        </w:tc>
        <w:tc>
          <w:tcPr>
            <w:tcW w:type="dxa" w:w="1440"/>
            <w:shd w:val="clear" w:color="auto" w:fill="F3F4F6"/>
          </w:tcPr>
          <w:p>
            <w:r>
              <w:rPr>
                <w:rFonts w:ascii="Calibri" w:hAnsi="Calibri"/>
                <w:b w:val="0"/>
                <w:i w:val="0"/>
                <w:sz w:val="19"/>
              </w:rPr>
              <w:t>16%</w:t>
            </w:r>
          </w:p>
        </w:tc>
        <w:tc>
          <w:tcPr>
            <w:tcW w:type="dxa" w:w="1440"/>
            <w:shd w:val="clear" w:color="auto" w:fill="F3F4F6"/>
          </w:tcPr>
          <w:p>
            <w:r>
              <w:rPr>
                <w:rFonts w:ascii="Calibri" w:hAnsi="Calibri"/>
                <w:b w:val="0"/>
                <w:i w:val="0"/>
                <w:sz w:val="19"/>
              </w:rPr>
              <w:t>10%</w:t>
            </w:r>
          </w:p>
        </w:tc>
        <w:tc>
          <w:tcPr>
            <w:tcW w:type="dxa" w:w="1440"/>
            <w:shd w:val="clear" w:color="auto" w:fill="F3F4F6"/>
          </w:tcPr>
          <w:p>
            <w:r>
              <w:rPr>
                <w:rFonts w:ascii="Calibri" w:hAnsi="Calibri"/>
                <w:b w:val="0"/>
                <w:i w:val="0"/>
                <w:sz w:val="19"/>
              </w:rPr>
              <w:t>4%</w:t>
            </w:r>
          </w:p>
        </w:tc>
      </w:tr>
      <w:tr>
        <w:tc>
          <w:tcPr>
            <w:tcW w:type="dxa" w:w="3600"/>
            <w:shd w:val="clear" w:color="auto" w:fill="FFFFFF"/>
          </w:tcPr>
          <w:p>
            <w:r>
              <w:rPr>
                <w:rFonts w:ascii="Calibri" w:hAnsi="Calibri"/>
                <w:b w:val="0"/>
                <w:i w:val="0"/>
                <w:sz w:val="19"/>
              </w:rPr>
              <w:t>Median Engineering Throughput (features/team/quarter)</w:t>
            </w:r>
          </w:p>
        </w:tc>
        <w:tc>
          <w:tcPr>
            <w:tcW w:type="dxa" w:w="1296"/>
            <w:shd w:val="clear" w:color="auto" w:fill="FFFFFF"/>
          </w:tcPr>
          <w:p>
            <w:r>
              <w:rPr>
                <w:rFonts w:ascii="Calibri" w:hAnsi="Calibri"/>
                <w:b w:val="0"/>
                <w:i w:val="0"/>
                <w:sz w:val="19"/>
              </w:rPr>
              <w:t>8</w:t>
            </w:r>
          </w:p>
        </w:tc>
        <w:tc>
          <w:tcPr>
            <w:tcW w:type="dxa" w:w="1440"/>
            <w:shd w:val="clear" w:color="auto" w:fill="FFFFFF"/>
          </w:tcPr>
          <w:p>
            <w:r>
              <w:rPr>
                <w:rFonts w:ascii="Calibri" w:hAnsi="Calibri"/>
                <w:b w:val="0"/>
                <w:i w:val="0"/>
                <w:sz w:val="19"/>
              </w:rPr>
              <w:t>12</w:t>
            </w:r>
          </w:p>
        </w:tc>
        <w:tc>
          <w:tcPr>
            <w:tcW w:type="dxa" w:w="1440"/>
            <w:shd w:val="clear" w:color="auto" w:fill="FFFFFF"/>
          </w:tcPr>
          <w:p>
            <w:r>
              <w:rPr>
                <w:rFonts w:ascii="Calibri" w:hAnsi="Calibri"/>
                <w:b w:val="0"/>
                <w:i w:val="0"/>
                <w:sz w:val="19"/>
              </w:rPr>
              <w:t>18</w:t>
            </w:r>
          </w:p>
        </w:tc>
        <w:tc>
          <w:tcPr>
            <w:tcW w:type="dxa" w:w="1440"/>
            <w:shd w:val="clear" w:color="auto" w:fill="FFFFFF"/>
          </w:tcPr>
          <w:p>
            <w:r>
              <w:rPr>
                <w:rFonts w:ascii="Calibri" w:hAnsi="Calibri"/>
                <w:b w:val="0"/>
                <w:i w:val="0"/>
                <w:sz w:val="19"/>
              </w:rPr>
              <w:t>28</w:t>
            </w:r>
          </w:p>
        </w:tc>
      </w:tr>
      <w:tr>
        <w:tc>
          <w:tcPr>
            <w:tcW w:type="dxa" w:w="3600"/>
            <w:shd w:val="clear" w:color="auto" w:fill="F3F4F6"/>
          </w:tcPr>
          <w:p>
            <w:r>
              <w:rPr>
                <w:rFonts w:ascii="Calibri" w:hAnsi="Calibri"/>
                <w:b w:val="0"/>
                <w:i w:val="0"/>
                <w:sz w:val="19"/>
              </w:rPr>
              <w:t>Median DORA Level</w:t>
            </w:r>
          </w:p>
        </w:tc>
        <w:tc>
          <w:tcPr>
            <w:tcW w:type="dxa" w:w="1296"/>
            <w:shd w:val="clear" w:color="auto" w:fill="F3F4F6"/>
          </w:tcPr>
          <w:p>
            <w:r>
              <w:rPr>
                <w:rFonts w:ascii="Calibri" w:hAnsi="Calibri"/>
                <w:b w:val="0"/>
                <w:i w:val="0"/>
                <w:sz w:val="19"/>
              </w:rPr>
              <w:t>Low</w:t>
            </w:r>
          </w:p>
        </w:tc>
        <w:tc>
          <w:tcPr>
            <w:tcW w:type="dxa" w:w="1440"/>
            <w:shd w:val="clear" w:color="auto" w:fill="F3F4F6"/>
          </w:tcPr>
          <w:p>
            <w:r>
              <w:rPr>
                <w:rFonts w:ascii="Calibri" w:hAnsi="Calibri"/>
                <w:b w:val="0"/>
                <w:i w:val="0"/>
                <w:sz w:val="19"/>
              </w:rPr>
              <w:t>Medium</w:t>
            </w:r>
          </w:p>
        </w:tc>
        <w:tc>
          <w:tcPr>
            <w:tcW w:type="dxa" w:w="1440"/>
            <w:shd w:val="clear" w:color="auto" w:fill="F3F4F6"/>
          </w:tcPr>
          <w:p>
            <w:r>
              <w:rPr>
                <w:rFonts w:ascii="Calibri" w:hAnsi="Calibri"/>
                <w:b w:val="0"/>
                <w:i w:val="0"/>
                <w:sz w:val="19"/>
              </w:rPr>
              <w:t>High</w:t>
            </w:r>
          </w:p>
        </w:tc>
        <w:tc>
          <w:tcPr>
            <w:tcW w:type="dxa" w:w="1440"/>
            <w:shd w:val="clear" w:color="auto" w:fill="F3F4F6"/>
          </w:tcPr>
          <w:p>
            <w:r>
              <w:rPr>
                <w:rFonts w:ascii="Calibri" w:hAnsi="Calibri"/>
                <w:b w:val="0"/>
                <w:i w:val="0"/>
                <w:sz w:val="19"/>
              </w:rPr>
              <w:t>Elite</w:t>
            </w:r>
          </w:p>
        </w:tc>
      </w:tr>
      <w:tr>
        <w:tc>
          <w:tcPr>
            <w:tcW w:type="dxa" w:w="3600"/>
            <w:shd w:val="clear" w:color="auto" w:fill="FFFFFF"/>
          </w:tcPr>
          <w:p>
            <w:r>
              <w:rPr>
                <w:rFonts w:ascii="Calibri" w:hAnsi="Calibri"/>
                <w:b w:val="0"/>
                <w:i w:val="0"/>
                <w:sz w:val="19"/>
              </w:rPr>
              <w:t>Avg. Annual Cost of PDLC Waste (200 FTE baseline)</w:t>
            </w:r>
          </w:p>
        </w:tc>
        <w:tc>
          <w:tcPr>
            <w:tcW w:type="dxa" w:w="1296"/>
            <w:shd w:val="clear" w:color="auto" w:fill="FFFFFF"/>
          </w:tcPr>
          <w:p>
            <w:r>
              <w:rPr>
                <w:rFonts w:ascii="Calibri" w:hAnsi="Calibri"/>
                <w:b w:val="0"/>
                <w:i w:val="0"/>
                <w:sz w:val="19"/>
              </w:rPr>
              <w:t>$14M</w:t>
            </w:r>
          </w:p>
        </w:tc>
        <w:tc>
          <w:tcPr>
            <w:tcW w:type="dxa" w:w="1440"/>
            <w:shd w:val="clear" w:color="auto" w:fill="FFFFFF"/>
          </w:tcPr>
          <w:p>
            <w:r>
              <w:rPr>
                <w:rFonts w:ascii="Calibri" w:hAnsi="Calibri"/>
                <w:b w:val="0"/>
                <w:i w:val="0"/>
                <w:sz w:val="19"/>
              </w:rPr>
              <w:t>$9M</w:t>
            </w:r>
          </w:p>
        </w:tc>
        <w:tc>
          <w:tcPr>
            <w:tcW w:type="dxa" w:w="1440"/>
            <w:shd w:val="clear" w:color="auto" w:fill="FFFFFF"/>
          </w:tcPr>
          <w:p>
            <w:r>
              <w:rPr>
                <w:rFonts w:ascii="Calibri" w:hAnsi="Calibri"/>
                <w:b w:val="0"/>
                <w:i w:val="0"/>
                <w:sz w:val="19"/>
              </w:rPr>
              <w:t>$4M</w:t>
            </w:r>
          </w:p>
        </w:tc>
        <w:tc>
          <w:tcPr>
            <w:tcW w:type="dxa" w:w="1440"/>
            <w:shd w:val="clear" w:color="auto" w:fill="FFFFFF"/>
          </w:tcPr>
          <w:p>
            <w:r>
              <w:rPr>
                <w:rFonts w:ascii="Calibri" w:hAnsi="Calibri"/>
                <w:b w:val="0"/>
                <w:i w:val="0"/>
                <w:sz w:val="19"/>
              </w:rPr>
              <w:t>$1.5M</w:t>
            </w:r>
          </w:p>
        </w:tc>
      </w:tr>
    </w:tbl>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Moving from Level 0 to Level 2 (Option B) reduces annual PDLC waste cost by an estimated $10M for a 200-FTE engineering organisation — while improving throughput by 125% and cutting lead time by 55%.</w:t>
            </w:r>
          </w:p>
        </w:tc>
      </w:tr>
    </w:tbl>
    <w:p/>
    <w:p>
      <w:pPr>
        <w:spacing w:before="60" w:after="60"/>
        <w:pBdr>
          <w:bottom w:val="single" w:sz="6" w:space="1" w:color="2563EB"/>
        </w:pBdr>
      </w:pPr>
    </w:p>
    <w:p>
      <w:pPr>
        <w:spacing w:before="400" w:after="120"/>
      </w:pPr>
      <w:r>
        <w:rPr>
          <w:rFonts w:ascii="Calibri" w:hAnsi="Calibri"/>
          <w:b/>
          <w:i w:val="0"/>
          <w:color w:val="0F2D5E"/>
          <w:sz w:val="32"/>
        </w:rPr>
        <w:t>Section 3: Where Does Your Organisation Sit?</w:t>
      </w:r>
    </w:p>
    <w:p>
      <w:pPr>
        <w:spacing w:after="80"/>
      </w:pPr>
      <w:r>
        <w:rPr>
          <w:rFonts w:ascii="Calibri" w:hAnsi="Calibri"/>
          <w:b w:val="0"/>
          <w:i w:val="0"/>
          <w:sz w:val="21"/>
        </w:rPr>
        <w:t>Use the following assessment to estimate your current maturity level. Honest self-assessment at this stage enables more accurate business case modelling in Phase 1.</w:t>
      </w:r>
    </w:p>
    <w:p>
      <w:pPr>
        <w:spacing w:before="240" w:after="80"/>
      </w:pPr>
      <w:r>
        <w:rPr>
          <w:rFonts w:ascii="Calibri" w:hAnsi="Calibri"/>
          <w:b/>
          <w:i w:val="0"/>
          <w:color w:val="2563EB"/>
          <w:sz w:val="26"/>
        </w:rPr>
        <w:t>Rapid Maturity Self-Assessment</w:t>
      </w:r>
    </w:p>
    <w:tbl>
      <w:tblPr>
        <w:tblStyle w:val="TableGrid"/>
        <w:tblW w:type="auto" w:w="0"/>
        <w:tblLook w:firstColumn="1" w:firstRow="1" w:lastColumn="0" w:lastRow="0" w:noHBand="0" w:noVBand="1" w:val="04A0"/>
      </w:tblPr>
      <w:tblGrid>
        <w:gridCol w:w="2340"/>
        <w:gridCol w:w="2340"/>
        <w:gridCol w:w="2340"/>
        <w:gridCol w:w="2340"/>
      </w:tblGrid>
      <w:tr>
        <w:tc>
          <w:tcPr>
            <w:tcW w:type="dxa" w:w="4608"/>
            <w:shd w:val="clear" w:color="auto" w:fill="0F2D5E"/>
          </w:tcPr>
          <w:p>
            <w:r>
              <w:rPr>
                <w:rFonts w:ascii="Calibri" w:hAnsi="Calibri"/>
                <w:b/>
                <w:i w:val="0"/>
                <w:color w:val="FFFFFF"/>
                <w:sz w:val="19"/>
              </w:rPr>
              <w:t>Question</w:t>
            </w:r>
          </w:p>
        </w:tc>
        <w:tc>
          <w:tcPr>
            <w:tcW w:type="dxa" w:w="1440"/>
            <w:shd w:val="clear" w:color="auto" w:fill="0F2D5E"/>
          </w:tcPr>
          <w:p>
            <w:r>
              <w:rPr>
                <w:rFonts w:ascii="Calibri" w:hAnsi="Calibri"/>
                <w:b/>
                <w:i w:val="0"/>
                <w:color w:val="FFFFFF"/>
                <w:sz w:val="19"/>
              </w:rPr>
              <w:t>Yes (+1)</w:t>
            </w:r>
          </w:p>
        </w:tc>
        <w:tc>
          <w:tcPr>
            <w:tcW w:type="dxa" w:w="1440"/>
            <w:shd w:val="clear" w:color="auto" w:fill="0F2D5E"/>
          </w:tcPr>
          <w:p>
            <w:r>
              <w:rPr>
                <w:rFonts w:ascii="Calibri" w:hAnsi="Calibri"/>
                <w:b/>
                <w:i w:val="0"/>
                <w:color w:val="FFFFFF"/>
                <w:sz w:val="19"/>
              </w:rPr>
              <w:t>Partial (+0.5)</w:t>
            </w:r>
          </w:p>
        </w:tc>
        <w:tc>
          <w:tcPr>
            <w:tcW w:type="dxa" w:w="1152"/>
            <w:shd w:val="clear" w:color="auto" w:fill="0F2D5E"/>
          </w:tcPr>
          <w:p>
            <w:r>
              <w:rPr>
                <w:rFonts w:ascii="Calibri" w:hAnsi="Calibri"/>
                <w:b/>
                <w:i w:val="0"/>
                <w:color w:val="FFFFFF"/>
                <w:sz w:val="19"/>
              </w:rPr>
              <w:t>No (0)</w:t>
            </w:r>
          </w:p>
        </w:tc>
      </w:tr>
      <w:tr>
        <w:tc>
          <w:tcPr>
            <w:tcW w:type="dxa" w:w="4608"/>
            <w:shd w:val="clear" w:color="auto" w:fill="F3F4F6"/>
          </w:tcPr>
          <w:p>
            <w:r>
              <w:rPr>
                <w:rFonts w:ascii="Calibri" w:hAnsi="Calibri"/>
                <w:b w:val="0"/>
                <w:i w:val="0"/>
                <w:sz w:val="19"/>
              </w:rPr>
              <w:t>Can you state your current average lead time with data?</w:t>
            </w:r>
          </w:p>
        </w:tc>
        <w:tc>
          <w:tcPr>
            <w:tcW w:type="dxa" w:w="1440"/>
            <w:shd w:val="clear" w:color="auto" w:fill="F3F4F6"/>
          </w:tcPr>
          <w:p>
            <w:r>
              <w:rPr>
                <w:rFonts w:ascii="Calibri" w:hAnsi="Calibri"/>
                <w:b w:val="0"/>
                <w:i w:val="0"/>
                <w:sz w:val="19"/>
              </w:rPr>
              <w:t>☐</w:t>
            </w:r>
          </w:p>
        </w:tc>
        <w:tc>
          <w:tcPr>
            <w:tcW w:type="dxa" w:w="1440"/>
            <w:shd w:val="clear" w:color="auto" w:fill="F3F4F6"/>
          </w:tcPr>
          <w:p>
            <w:r>
              <w:rPr>
                <w:rFonts w:ascii="Calibri" w:hAnsi="Calibri"/>
                <w:b w:val="0"/>
                <w:i w:val="0"/>
                <w:sz w:val="19"/>
              </w:rPr>
              <w:t>☐</w:t>
            </w:r>
          </w:p>
        </w:tc>
        <w:tc>
          <w:tcPr>
            <w:tcW w:type="dxa" w:w="1152"/>
            <w:shd w:val="clear" w:color="auto" w:fill="F3F4F6"/>
          </w:tcPr>
          <w:p>
            <w:r>
              <w:rPr>
                <w:rFonts w:ascii="Calibri" w:hAnsi="Calibri"/>
                <w:b w:val="0"/>
                <w:i w:val="0"/>
                <w:sz w:val="19"/>
              </w:rPr>
              <w:t>☐</w:t>
            </w:r>
          </w:p>
        </w:tc>
      </w:tr>
      <w:tr>
        <w:tc>
          <w:tcPr>
            <w:tcW w:type="dxa" w:w="4608"/>
            <w:shd w:val="clear" w:color="auto" w:fill="FFFFFF"/>
          </w:tcPr>
          <w:p>
            <w:r>
              <w:rPr>
                <w:rFonts w:ascii="Calibri" w:hAnsi="Calibri"/>
                <w:b w:val="0"/>
                <w:i w:val="0"/>
                <w:sz w:val="19"/>
              </w:rPr>
              <w:t>Can you state your current flow efficiency with data?</w:t>
            </w:r>
          </w:p>
        </w:tc>
        <w:tc>
          <w:tcPr>
            <w:tcW w:type="dxa" w:w="1440"/>
            <w:shd w:val="clear" w:color="auto" w:fill="FFFFFF"/>
          </w:tcPr>
          <w:p>
            <w:r>
              <w:rPr>
                <w:rFonts w:ascii="Calibri" w:hAnsi="Calibri"/>
                <w:b w:val="0"/>
                <w:i w:val="0"/>
                <w:sz w:val="19"/>
              </w:rPr>
              <w:t>☐</w:t>
            </w:r>
          </w:p>
        </w:tc>
        <w:tc>
          <w:tcPr>
            <w:tcW w:type="dxa" w:w="1440"/>
            <w:shd w:val="clear" w:color="auto" w:fill="FFFFFF"/>
          </w:tcPr>
          <w:p>
            <w:r>
              <w:rPr>
                <w:rFonts w:ascii="Calibri" w:hAnsi="Calibri"/>
                <w:b w:val="0"/>
                <w:i w:val="0"/>
                <w:sz w:val="19"/>
              </w:rPr>
              <w:t>☐</w:t>
            </w:r>
          </w:p>
        </w:tc>
        <w:tc>
          <w:tcPr>
            <w:tcW w:type="dxa" w:w="1152"/>
            <w:shd w:val="clear" w:color="auto" w:fill="FFFFFF"/>
          </w:tcPr>
          <w:p>
            <w:r>
              <w:rPr>
                <w:rFonts w:ascii="Calibri" w:hAnsi="Calibri"/>
                <w:b w:val="0"/>
                <w:i w:val="0"/>
                <w:sz w:val="19"/>
              </w:rPr>
              <w:t>☐</w:t>
            </w:r>
          </w:p>
        </w:tc>
      </w:tr>
      <w:tr>
        <w:tc>
          <w:tcPr>
            <w:tcW w:type="dxa" w:w="4608"/>
            <w:shd w:val="clear" w:color="auto" w:fill="F3F4F6"/>
          </w:tcPr>
          <w:p>
            <w:r>
              <w:rPr>
                <w:rFonts w:ascii="Calibri" w:hAnsi="Calibri"/>
                <w:b w:val="0"/>
                <w:i w:val="0"/>
                <w:sz w:val="19"/>
              </w:rPr>
              <w:t>Do you have AI tools deployed at 3+ steps in the PDLC?</w:t>
            </w:r>
          </w:p>
        </w:tc>
        <w:tc>
          <w:tcPr>
            <w:tcW w:type="dxa" w:w="1440"/>
            <w:shd w:val="clear" w:color="auto" w:fill="F3F4F6"/>
          </w:tcPr>
          <w:p>
            <w:r>
              <w:rPr>
                <w:rFonts w:ascii="Calibri" w:hAnsi="Calibri"/>
                <w:b w:val="0"/>
                <w:i w:val="0"/>
                <w:sz w:val="19"/>
              </w:rPr>
              <w:t>☐</w:t>
            </w:r>
          </w:p>
        </w:tc>
        <w:tc>
          <w:tcPr>
            <w:tcW w:type="dxa" w:w="1440"/>
            <w:shd w:val="clear" w:color="auto" w:fill="F3F4F6"/>
          </w:tcPr>
          <w:p>
            <w:r>
              <w:rPr>
                <w:rFonts w:ascii="Calibri" w:hAnsi="Calibri"/>
                <w:b w:val="0"/>
                <w:i w:val="0"/>
                <w:sz w:val="19"/>
              </w:rPr>
              <w:t>☐</w:t>
            </w:r>
          </w:p>
        </w:tc>
        <w:tc>
          <w:tcPr>
            <w:tcW w:type="dxa" w:w="1152"/>
            <w:shd w:val="clear" w:color="auto" w:fill="F3F4F6"/>
          </w:tcPr>
          <w:p>
            <w:r>
              <w:rPr>
                <w:rFonts w:ascii="Calibri" w:hAnsi="Calibri"/>
                <w:b w:val="0"/>
                <w:i w:val="0"/>
                <w:sz w:val="19"/>
              </w:rPr>
              <w:t>☐</w:t>
            </w:r>
          </w:p>
        </w:tc>
      </w:tr>
      <w:tr>
        <w:tc>
          <w:tcPr>
            <w:tcW w:type="dxa" w:w="4608"/>
            <w:shd w:val="clear" w:color="auto" w:fill="FFFFFF"/>
          </w:tcPr>
          <w:p>
            <w:r>
              <w:rPr>
                <w:rFonts w:ascii="Calibri" w:hAnsi="Calibri"/>
                <w:b w:val="0"/>
                <w:i w:val="0"/>
                <w:sz w:val="19"/>
              </w:rPr>
              <w:t>Do AI agents execute any PDLC steps autonomously?</w:t>
            </w:r>
          </w:p>
        </w:tc>
        <w:tc>
          <w:tcPr>
            <w:tcW w:type="dxa" w:w="1440"/>
            <w:shd w:val="clear" w:color="auto" w:fill="FFFFFF"/>
          </w:tcPr>
          <w:p>
            <w:r>
              <w:rPr>
                <w:rFonts w:ascii="Calibri" w:hAnsi="Calibri"/>
                <w:b w:val="0"/>
                <w:i w:val="0"/>
                <w:sz w:val="19"/>
              </w:rPr>
              <w:t>☐</w:t>
            </w:r>
          </w:p>
        </w:tc>
        <w:tc>
          <w:tcPr>
            <w:tcW w:type="dxa" w:w="1440"/>
            <w:shd w:val="clear" w:color="auto" w:fill="FFFFFF"/>
          </w:tcPr>
          <w:p>
            <w:r>
              <w:rPr>
                <w:rFonts w:ascii="Calibri" w:hAnsi="Calibri"/>
                <w:b w:val="0"/>
                <w:i w:val="0"/>
                <w:sz w:val="19"/>
              </w:rPr>
              <w:t>☐</w:t>
            </w:r>
          </w:p>
        </w:tc>
        <w:tc>
          <w:tcPr>
            <w:tcW w:type="dxa" w:w="1152"/>
            <w:shd w:val="clear" w:color="auto" w:fill="FFFFFF"/>
          </w:tcPr>
          <w:p>
            <w:r>
              <w:rPr>
                <w:rFonts w:ascii="Calibri" w:hAnsi="Calibri"/>
                <w:b w:val="0"/>
                <w:i w:val="0"/>
                <w:sz w:val="19"/>
              </w:rPr>
              <w:t>☐</w:t>
            </w:r>
          </w:p>
        </w:tc>
      </w:tr>
      <w:tr>
        <w:tc>
          <w:tcPr>
            <w:tcW w:type="dxa" w:w="4608"/>
            <w:shd w:val="clear" w:color="auto" w:fill="F3F4F6"/>
          </w:tcPr>
          <w:p>
            <w:r>
              <w:rPr>
                <w:rFonts w:ascii="Calibri" w:hAnsi="Calibri"/>
                <w:b w:val="0"/>
                <w:i w:val="0"/>
                <w:sz w:val="19"/>
              </w:rPr>
              <w:t>Do you have a current state VSM updated in the last 6 months?</w:t>
            </w:r>
          </w:p>
        </w:tc>
        <w:tc>
          <w:tcPr>
            <w:tcW w:type="dxa" w:w="1440"/>
            <w:shd w:val="clear" w:color="auto" w:fill="F3F4F6"/>
          </w:tcPr>
          <w:p>
            <w:r>
              <w:rPr>
                <w:rFonts w:ascii="Calibri" w:hAnsi="Calibri"/>
                <w:b w:val="0"/>
                <w:i w:val="0"/>
                <w:sz w:val="19"/>
              </w:rPr>
              <w:t>☐</w:t>
            </w:r>
          </w:p>
        </w:tc>
        <w:tc>
          <w:tcPr>
            <w:tcW w:type="dxa" w:w="1440"/>
            <w:shd w:val="clear" w:color="auto" w:fill="F3F4F6"/>
          </w:tcPr>
          <w:p>
            <w:r>
              <w:rPr>
                <w:rFonts w:ascii="Calibri" w:hAnsi="Calibri"/>
                <w:b w:val="0"/>
                <w:i w:val="0"/>
                <w:sz w:val="19"/>
              </w:rPr>
              <w:t>☐</w:t>
            </w:r>
          </w:p>
        </w:tc>
        <w:tc>
          <w:tcPr>
            <w:tcW w:type="dxa" w:w="1152"/>
            <w:shd w:val="clear" w:color="auto" w:fill="F3F4F6"/>
          </w:tcPr>
          <w:p>
            <w:r>
              <w:rPr>
                <w:rFonts w:ascii="Calibri" w:hAnsi="Calibri"/>
                <w:b w:val="0"/>
                <w:i w:val="0"/>
                <w:sz w:val="19"/>
              </w:rPr>
              <w:t>☐</w:t>
            </w:r>
          </w:p>
        </w:tc>
      </w:tr>
      <w:tr>
        <w:tc>
          <w:tcPr>
            <w:tcW w:type="dxa" w:w="4608"/>
            <w:shd w:val="clear" w:color="auto" w:fill="FFFFFF"/>
          </w:tcPr>
          <w:p>
            <w:r>
              <w:rPr>
                <w:rFonts w:ascii="Calibri" w:hAnsi="Calibri"/>
                <w:b w:val="0"/>
                <w:i w:val="0"/>
                <w:sz w:val="19"/>
              </w:rPr>
              <w:t>Can you quantify your bottleneck cost in dollars?</w:t>
            </w:r>
          </w:p>
        </w:tc>
        <w:tc>
          <w:tcPr>
            <w:tcW w:type="dxa" w:w="1440"/>
            <w:shd w:val="clear" w:color="auto" w:fill="FFFFFF"/>
          </w:tcPr>
          <w:p>
            <w:r>
              <w:rPr>
                <w:rFonts w:ascii="Calibri" w:hAnsi="Calibri"/>
                <w:b w:val="0"/>
                <w:i w:val="0"/>
                <w:sz w:val="19"/>
              </w:rPr>
              <w:t>☐</w:t>
            </w:r>
          </w:p>
        </w:tc>
        <w:tc>
          <w:tcPr>
            <w:tcW w:type="dxa" w:w="1440"/>
            <w:shd w:val="clear" w:color="auto" w:fill="FFFFFF"/>
          </w:tcPr>
          <w:p>
            <w:r>
              <w:rPr>
                <w:rFonts w:ascii="Calibri" w:hAnsi="Calibri"/>
                <w:b w:val="0"/>
                <w:i w:val="0"/>
                <w:sz w:val="19"/>
              </w:rPr>
              <w:t>☐</w:t>
            </w:r>
          </w:p>
        </w:tc>
        <w:tc>
          <w:tcPr>
            <w:tcW w:type="dxa" w:w="1152"/>
            <w:shd w:val="clear" w:color="auto" w:fill="FFFFFF"/>
          </w:tcPr>
          <w:p>
            <w:r>
              <w:rPr>
                <w:rFonts w:ascii="Calibri" w:hAnsi="Calibri"/>
                <w:b w:val="0"/>
                <w:i w:val="0"/>
                <w:sz w:val="19"/>
              </w:rPr>
              <w:t>☐</w:t>
            </w:r>
          </w:p>
        </w:tc>
      </w:tr>
      <w:tr>
        <w:tc>
          <w:tcPr>
            <w:tcW w:type="dxa" w:w="4608"/>
            <w:shd w:val="clear" w:color="auto" w:fill="F3F4F6"/>
          </w:tcPr>
          <w:p>
            <w:r>
              <w:rPr>
                <w:rFonts w:ascii="Calibri" w:hAnsi="Calibri"/>
                <w:b w:val="0"/>
                <w:i w:val="0"/>
                <w:sz w:val="19"/>
              </w:rPr>
              <w:t>Do your DORA metrics link directly to business outcomes?</w:t>
            </w:r>
          </w:p>
        </w:tc>
        <w:tc>
          <w:tcPr>
            <w:tcW w:type="dxa" w:w="1440"/>
            <w:shd w:val="clear" w:color="auto" w:fill="F3F4F6"/>
          </w:tcPr>
          <w:p>
            <w:r>
              <w:rPr>
                <w:rFonts w:ascii="Calibri" w:hAnsi="Calibri"/>
                <w:b w:val="0"/>
                <w:i w:val="0"/>
                <w:sz w:val="19"/>
              </w:rPr>
              <w:t>☐</w:t>
            </w:r>
          </w:p>
        </w:tc>
        <w:tc>
          <w:tcPr>
            <w:tcW w:type="dxa" w:w="1440"/>
            <w:shd w:val="clear" w:color="auto" w:fill="F3F4F6"/>
          </w:tcPr>
          <w:p>
            <w:r>
              <w:rPr>
                <w:rFonts w:ascii="Calibri" w:hAnsi="Calibri"/>
                <w:b w:val="0"/>
                <w:i w:val="0"/>
                <w:sz w:val="19"/>
              </w:rPr>
              <w:t>☐</w:t>
            </w:r>
          </w:p>
        </w:tc>
        <w:tc>
          <w:tcPr>
            <w:tcW w:type="dxa" w:w="1152"/>
            <w:shd w:val="clear" w:color="auto" w:fill="F3F4F6"/>
          </w:tcPr>
          <w:p>
            <w:r>
              <w:rPr>
                <w:rFonts w:ascii="Calibri" w:hAnsi="Calibri"/>
                <w:b w:val="0"/>
                <w:i w:val="0"/>
                <w:sz w:val="19"/>
              </w:rPr>
              <w:t>☐</w:t>
            </w:r>
          </w:p>
        </w:tc>
      </w:tr>
      <w:tr>
        <w:tc>
          <w:tcPr>
            <w:tcW w:type="dxa" w:w="4608"/>
            <w:shd w:val="clear" w:color="auto" w:fill="FFFFFF"/>
          </w:tcPr>
          <w:p>
            <w:r>
              <w:rPr>
                <w:rFonts w:ascii="Calibri" w:hAnsi="Calibri"/>
                <w:b w:val="0"/>
                <w:i w:val="0"/>
                <w:sz w:val="19"/>
              </w:rPr>
              <w:t>Is your board aligned on a specific transformation investment?</w:t>
            </w:r>
          </w:p>
        </w:tc>
        <w:tc>
          <w:tcPr>
            <w:tcW w:type="dxa" w:w="1440"/>
            <w:shd w:val="clear" w:color="auto" w:fill="FFFFFF"/>
          </w:tcPr>
          <w:p>
            <w:r>
              <w:rPr>
                <w:rFonts w:ascii="Calibri" w:hAnsi="Calibri"/>
                <w:b w:val="0"/>
                <w:i w:val="0"/>
                <w:sz w:val="19"/>
              </w:rPr>
              <w:t>☐</w:t>
            </w:r>
          </w:p>
        </w:tc>
        <w:tc>
          <w:tcPr>
            <w:tcW w:type="dxa" w:w="1440"/>
            <w:shd w:val="clear" w:color="auto" w:fill="FFFFFF"/>
          </w:tcPr>
          <w:p>
            <w:r>
              <w:rPr>
                <w:rFonts w:ascii="Calibri" w:hAnsi="Calibri"/>
                <w:b w:val="0"/>
                <w:i w:val="0"/>
                <w:sz w:val="19"/>
              </w:rPr>
              <w:t>☐</w:t>
            </w:r>
          </w:p>
        </w:tc>
        <w:tc>
          <w:tcPr>
            <w:tcW w:type="dxa" w:w="1152"/>
            <w:shd w:val="clear" w:color="auto" w:fill="FFFFFF"/>
          </w:tcPr>
          <w:p>
            <w:r>
              <w:rPr>
                <w:rFonts w:ascii="Calibri" w:hAnsi="Calibri"/>
                <w:b w:val="0"/>
                <w:i w:val="0"/>
                <w:sz w:val="19"/>
              </w:rPr>
              <w:t>☐</w:t>
            </w:r>
          </w:p>
        </w:tc>
      </w:tr>
    </w:tbl>
    <w:p/>
    <w:p>
      <w:pPr>
        <w:spacing w:after="80"/>
      </w:pPr>
      <w:r>
        <w:rPr>
          <w:rFonts w:ascii="Calibri" w:hAnsi="Calibri"/>
          <w:b w:val="0"/>
          <w:i w:val="0"/>
          <w:sz w:val="21"/>
        </w:rPr>
        <w:t>Score interpretation: 0–2 = Level 0 (Pre-Augment) | 2.5–4 = Level 1 (Option A ready) | 4.5–6 = Level 2 (Option B ready) | 6.5–8 = Level 3 (Option C ready)</w:t>
      </w:r>
    </w:p>
    <w:p>
      <w:pPr>
        <w:spacing w:after="80"/>
      </w:pPr>
      <w:r>
        <w:rPr>
          <w:rFonts w:ascii="Calibri" w:hAnsi="Calibri"/>
          <w:b w:val="0"/>
          <w:i w:val="0"/>
          <w:sz w:val="21"/>
        </w:rPr>
        <w:t>Note: Score below 2 on the first two questions (data availability) is a strong signal that Phase 1 Diagnose is the critical first action — regardless of transformation ambition level.</w:t>
      </w:r>
    </w:p>
    <w:p>
      <w:pPr>
        <w:spacing w:before="60" w:after="60"/>
        <w:pBdr>
          <w:bottom w:val="single" w:sz="6" w:space="1" w:color="2563EB"/>
        </w:pBdr>
      </w:pPr>
    </w:p>
    <w:p>
      <w:pPr>
        <w:spacing w:before="400" w:after="120"/>
      </w:pPr>
      <w:r>
        <w:rPr>
          <w:rFonts w:ascii="Calibri" w:hAnsi="Calibri"/>
          <w:b/>
          <w:i w:val="0"/>
          <w:color w:val="0F2D5E"/>
          <w:sz w:val="32"/>
        </w:rPr>
        <w:t>Section 4: What Leaders Are Doing Differently</w:t>
      </w:r>
    </w:p>
    <w:p>
      <w:pPr>
        <w:spacing w:after="80"/>
      </w:pPr>
      <w:r>
        <w:rPr>
          <w:rFonts w:ascii="Calibri" w:hAnsi="Calibri"/>
          <w:b w:val="0"/>
          <w:i w:val="0"/>
          <w:sz w:val="21"/>
        </w:rPr>
        <w:t>Teams operating at Level 2 (Option B) and Level 3 (Option C) share five characteristics that distinguish them from the median in our benchmark dataset:</w:t>
      </w:r>
    </w:p>
    <w:p>
      <w:pPr>
        <w:spacing w:before="240" w:after="80"/>
      </w:pPr>
      <w:r>
        <w:rPr>
          <w:rFonts w:ascii="Calibri" w:hAnsi="Calibri"/>
          <w:b/>
          <w:i w:val="0"/>
          <w:color w:val="2563EB"/>
          <w:sz w:val="26"/>
        </w:rPr>
        <w:t>Characteristic 1: They Started With a Diagnosis</w:t>
      </w:r>
    </w:p>
    <w:p>
      <w:pPr>
        <w:spacing w:after="80"/>
      </w:pPr>
      <w:r>
        <w:rPr>
          <w:rFonts w:ascii="Calibri" w:hAnsi="Calibri"/>
          <w:b w:val="0"/>
          <w:i w:val="0"/>
          <w:sz w:val="21"/>
        </w:rPr>
        <w:t>95% of Level 2+ teams completed a formal current state VSM before making any transformation technology investment. The diagnosis was the first project, not an afterthought. This gave them a precise understanding of which bottlenecks to address — and which proposed solutions would have been expensive distractions.</w:t>
      </w:r>
    </w:p>
    <w:p>
      <w:pPr>
        <w:spacing w:before="240" w:after="80"/>
      </w:pPr>
      <w:r>
        <w:rPr>
          <w:rFonts w:ascii="Calibri" w:hAnsi="Calibri"/>
          <w:b/>
          <w:i w:val="0"/>
          <w:color w:val="2563EB"/>
          <w:sz w:val="26"/>
        </w:rPr>
        <w:t>Characteristic 2: They Built the Business Case From Data</w:t>
      </w:r>
    </w:p>
    <w:p>
      <w:pPr>
        <w:spacing w:after="80"/>
      </w:pPr>
      <w:r>
        <w:rPr>
          <w:rFonts w:ascii="Calibri" w:hAnsi="Calibri"/>
          <w:b w:val="0"/>
          <w:i w:val="0"/>
          <w:sz w:val="21"/>
        </w:rPr>
        <w:t>Level 2+ teams presented their boards with ROI projections grounded in measured bottleneck costs — not vendor projections or industry averages. The data came from the diagnostic phase. In 87% of cases, the board-approved investment was larger than the initial proposal, because the data made the opportunity larger than anyone had estimated.</w:t>
      </w:r>
    </w:p>
    <w:p>
      <w:pPr>
        <w:spacing w:before="240" w:after="80"/>
      </w:pPr>
      <w:r>
        <w:rPr>
          <w:rFonts w:ascii="Calibri" w:hAnsi="Calibri"/>
          <w:b/>
          <w:i w:val="0"/>
          <w:color w:val="2563EB"/>
          <w:sz w:val="26"/>
        </w:rPr>
        <w:t>Characteristic 3: They Chose the Right Governance Model Early</w:t>
      </w:r>
    </w:p>
    <w:p>
      <w:pPr>
        <w:spacing w:after="80"/>
      </w:pPr>
      <w:r>
        <w:rPr>
          <w:rFonts w:ascii="Calibri" w:hAnsi="Calibri"/>
          <w:b w:val="0"/>
          <w:i w:val="0"/>
          <w:sz w:val="21"/>
        </w:rPr>
        <w:t>The most common cause of failed Option B programmes is under-investing in governance design — specifically, the definition of which decisions AI agents can make autonomously and which require human gate approval. Level 2+ leaders defined this architecture before deployment, not after the first governance incident.</w:t>
      </w:r>
    </w:p>
    <w:p>
      <w:pPr>
        <w:spacing w:before="240" w:after="80"/>
      </w:pPr>
      <w:r>
        <w:rPr>
          <w:rFonts w:ascii="Calibri" w:hAnsi="Calibri"/>
          <w:b/>
          <w:i w:val="0"/>
          <w:color w:val="2563EB"/>
          <w:sz w:val="26"/>
        </w:rPr>
        <w:t>Characteristic 4: They Measured Benefits From Day 1</w:t>
      </w:r>
    </w:p>
    <w:p>
      <w:pPr>
        <w:spacing w:after="80"/>
      </w:pPr>
      <w:r>
        <w:rPr>
          <w:rFonts w:ascii="Calibri" w:hAnsi="Calibri"/>
          <w:b w:val="0"/>
          <w:i w:val="0"/>
          <w:sz w:val="21"/>
        </w:rPr>
        <w:t>Level 2+ organisations established a measurement framework in Phase 1 and tracked benefits from the first deployment. This created a feedback loop that accelerated optimisation and provided the board reporting that sustained programme support through difficult periods.</w:t>
      </w:r>
    </w:p>
    <w:p>
      <w:pPr>
        <w:spacing w:before="240" w:after="80"/>
      </w:pPr>
      <w:r>
        <w:rPr>
          <w:rFonts w:ascii="Calibri" w:hAnsi="Calibri"/>
          <w:b/>
          <w:i w:val="0"/>
          <w:color w:val="2563EB"/>
          <w:sz w:val="26"/>
        </w:rPr>
        <w:t>Characteristic 5: They Used Phase 1 to Build Internal Alignment</w:t>
      </w:r>
    </w:p>
    <w:p>
      <w:pPr>
        <w:spacing w:after="80"/>
      </w:pPr>
      <w:r>
        <w:rPr>
          <w:rFonts w:ascii="Calibri" w:hAnsi="Calibri"/>
          <w:b w:val="0"/>
          <w:i w:val="0"/>
          <w:sz w:val="21"/>
        </w:rPr>
        <w:t>The Phase 1 diagnostic was not just a data exercise — it was a change management tool. By involving engineering leads, product leaders, and finance in the diagnosis, Level 2+ organisations arrived at Phase 3 with a coalition of informed sponsors, not passive recipients of a plan.</w:t>
      </w:r>
    </w:p>
    <w:p>
      <w:pPr>
        <w:spacing w:before="60" w:after="60"/>
        <w:pBdr>
          <w:bottom w:val="single" w:sz="6" w:space="1" w:color="2563EB"/>
        </w:pBdr>
      </w:pPr>
    </w:p>
    <w:p>
      <w:pPr>
        <w:spacing w:before="400" w:after="120"/>
      </w:pPr>
      <w:r>
        <w:rPr>
          <w:rFonts w:ascii="Calibri" w:hAnsi="Calibri"/>
          <w:b/>
          <w:i w:val="0"/>
          <w:color w:val="0F2D5E"/>
          <w:sz w:val="32"/>
        </w:rPr>
        <w:t>Section 5: How the Diagnosis Reveals Your Benchmark Gap</w:t>
      </w:r>
    </w:p>
    <w:p>
      <w:pPr>
        <w:spacing w:after="80"/>
      </w:pPr>
      <w:r>
        <w:rPr>
          <w:rFonts w:ascii="Calibri" w:hAnsi="Calibri"/>
          <w:b w:val="0"/>
          <w:i w:val="0"/>
          <w:sz w:val="21"/>
        </w:rPr>
        <w:t>The STUMP, deployed in Phase 1 Diagnose, generates your organisation's performance benchmarks in real time — overlaid against sector peers at each maturity level. This means that at the end of the 8-week diagnostic, you will know:</w:t>
      </w:r>
    </w:p>
    <w:p>
      <w:pPr>
        <w:pStyle w:val="ListBullet"/>
        <w:spacing w:after="40"/>
        <w:ind w:left="432"/>
      </w:pPr>
      <w:r>
        <w:rPr>
          <w:rFonts w:ascii="Calibri" w:hAnsi="Calibri"/>
          <w:b w:val="0"/>
          <w:i w:val="0"/>
          <w:sz w:val="21"/>
        </w:rPr>
        <w:t>Your actual lead time vs. sector median, top quartile, and world-class</w:t>
      </w:r>
    </w:p>
    <w:p>
      <w:pPr>
        <w:pStyle w:val="ListBullet"/>
        <w:spacing w:after="40"/>
        <w:ind w:left="432"/>
      </w:pPr>
      <w:r>
        <w:rPr>
          <w:rFonts w:ascii="Calibri" w:hAnsi="Calibri"/>
          <w:b w:val="0"/>
          <w:i w:val="0"/>
          <w:sz w:val="21"/>
        </w:rPr>
        <w:t>Your actual flow efficiency vs. sector median and Level 2/3 peers</w:t>
      </w:r>
    </w:p>
    <w:p>
      <w:pPr>
        <w:pStyle w:val="ListBullet"/>
        <w:spacing w:after="40"/>
        <w:ind w:left="432"/>
      </w:pPr>
      <w:r>
        <w:rPr>
          <w:rFonts w:ascii="Calibri" w:hAnsi="Calibri"/>
          <w:b w:val="0"/>
          <w:i w:val="0"/>
          <w:sz w:val="21"/>
        </w:rPr>
        <w:t>Your DORA performance level and the gap to the next level</w:t>
      </w:r>
    </w:p>
    <w:p>
      <w:pPr>
        <w:pStyle w:val="ListBullet"/>
        <w:spacing w:after="40"/>
        <w:ind w:left="432"/>
      </w:pPr>
      <w:r>
        <w:rPr>
          <w:rFonts w:ascii="Calibri" w:hAnsi="Calibri"/>
          <w:b w:val="0"/>
          <w:i w:val="0"/>
          <w:sz w:val="21"/>
        </w:rPr>
        <w:t>The estimated annual cost of your benchmark gap in dollars</w:t>
      </w:r>
    </w:p>
    <w:p>
      <w:pPr>
        <w:pStyle w:val="ListBullet"/>
        <w:spacing w:after="40"/>
        <w:ind w:left="432"/>
      </w:pPr>
      <w:r>
        <w:rPr>
          <w:rFonts w:ascii="Calibri" w:hAnsi="Calibri"/>
          <w:b w:val="0"/>
          <w:i w:val="0"/>
          <w:sz w:val="21"/>
        </w:rPr>
        <w:t>The specific process steps driving the largest gap vs. peers</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US Bank / Team Phoenix entered Phase 1 at Level 0 (42-day lead time, 17.8% FE, no structured VSM). The diagnostic revealed they were operating 34 days slower than top-quartile peers — at an annual cost of $8.4M. This single number moved the CFO from sceptic to sponsor.</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