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0F2D5E"/>
          </w:tcPr>
          <w:p>
            <w:pPr>
              <w:spacing w:before="400" w:after="120"/>
              <w:jc w:val="center"/>
            </w:pPr>
            <w:r>
              <w:rPr>
                <w:rFonts w:ascii="Calibri" w:hAnsi="Calibri"/>
                <w:b/>
                <w:i w:val="0"/>
                <w:color w:val="FFFFFF"/>
                <w:sz w:val="44"/>
              </w:rPr>
              <w:t>AI-Powered PDLC Transformation</w:t>
            </w:r>
          </w:p>
          <w:p>
            <w:pPr>
              <w:jc w:val="center"/>
            </w:pPr>
            <w:r>
              <w:rPr>
                <w:rFonts w:ascii="Calibri" w:hAnsi="Calibri"/>
                <w:b w:val="0"/>
                <w:i w:val="0"/>
                <w:color w:val="DBEAFE"/>
                <w:sz w:val="26"/>
              </w:rPr>
              <w:t>GTM Pack — Set 1: CXO GTM Pack</w:t>
            </w:r>
          </w:p>
          <w:p>
            <w:pPr>
              <w:spacing w:after="400"/>
              <w:jc w:val="center"/>
            </w:pPr>
            <w:r>
              <w:rPr>
                <w:rFonts w:ascii="Calibri" w:hAnsi="Calibri"/>
                <w:b w:val="0"/>
                <w:i/>
                <w:color w:val="DBEAFE"/>
                <w:sz w:val="22"/>
              </w:rPr>
              <w:t>Document 07 of 10</w:t>
            </w:r>
          </w:p>
        </w:tc>
      </w:tr>
    </w:tbl>
    <w:p/>
    <w:p>
      <w:pPr>
        <w:jc w:val="center"/>
      </w:pPr>
      <w:r>
        <w:rPr>
          <w:rFonts w:ascii="Calibri" w:hAnsi="Calibri"/>
          <w:b/>
          <w:i w:val="0"/>
          <w:color w:val="0F2D5E"/>
          <w:sz w:val="52"/>
        </w:rPr>
        <w:t>Case Study: US Bank / Team Phoenix</w:t>
      </w:r>
    </w:p>
    <w:p>
      <w:pPr>
        <w:jc w:val="center"/>
      </w:pPr>
      <w:r>
        <w:rPr>
          <w:rFonts w:ascii="Calibri" w:hAnsi="Calibri"/>
          <w:b w:val="0"/>
          <w:i/>
          <w:color w:val="2563EB"/>
          <w:sz w:val="28"/>
        </w:rPr>
        <w:t>From 42-Day Lead Time to 8 Days — An AI-Powered PDLC Transformation</w:t>
      </w:r>
    </w:p>
    <w:p>
      <w:pPr>
        <w:spacing w:before="60" w:after="60"/>
        <w:pBdr>
          <w:bottom w:val="single" w:sz="6" w:space="1" w:color="2563EB"/>
        </w:pBdr>
      </w:pPr>
    </w:p>
    <w:p>
      <w:pPr>
        <w:jc w:val="center"/>
      </w:pPr>
      <w:r>
        <w:rPr>
          <w:rFonts w:ascii="Calibri" w:hAnsi="Calibri"/>
          <w:b w:val="0"/>
          <w:i w:val="0"/>
          <w:color w:val="4B5563"/>
          <w:sz w:val="22"/>
        </w:rPr>
        <w:t>DIAGNOSE · DESIGN · DELIVER · Accelerated by AI</w:t>
      </w:r>
    </w:p>
    <w:p>
      <w:r>
        <w:br w:type="page"/>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F2D5E"/>
          </w:tcPr>
          <w:p>
            <w:pPr>
              <w:spacing w:before="120" w:after="120"/>
              <w:jc w:val="center"/>
            </w:pPr>
            <w:r>
              <w:rPr>
                <w:rFonts w:ascii="Calibri" w:hAnsi="Calibri"/>
                <w:b/>
                <w:i w:val="0"/>
                <w:color w:val="FFFFFF"/>
                <w:sz w:val="18"/>
              </w:rPr>
              <w:t>Industry</w:t>
              <w:br/>
            </w:r>
            <w:r>
              <w:rPr>
                <w:rFonts w:ascii="Calibri" w:hAnsi="Calibri"/>
                <w:b/>
                <w:i w:val="0"/>
                <w:color w:val="DBEAFE"/>
                <w:sz w:val="22"/>
              </w:rPr>
              <w:t>Retail Banking (US)</w:t>
            </w:r>
          </w:p>
        </w:tc>
        <w:tc>
          <w:tcPr>
            <w:tcW w:type="dxa" w:w="2340"/>
            <w:shd w:val="clear" w:color="auto" w:fill="0F2D5E"/>
          </w:tcPr>
          <w:p>
            <w:pPr>
              <w:spacing w:before="120" w:after="120"/>
              <w:jc w:val="center"/>
            </w:pPr>
            <w:r>
              <w:rPr>
                <w:rFonts w:ascii="Calibri" w:hAnsi="Calibri"/>
                <w:b/>
                <w:i w:val="0"/>
                <w:color w:val="FFFFFF"/>
                <w:sz w:val="18"/>
              </w:rPr>
              <w:t>Team Size</w:t>
              <w:br/>
            </w:r>
            <w:r>
              <w:rPr>
                <w:rFonts w:ascii="Calibri" w:hAnsi="Calibri"/>
                <w:b/>
                <w:i w:val="0"/>
                <w:color w:val="DBEAFE"/>
                <w:sz w:val="22"/>
              </w:rPr>
              <w:t>180 Engineers</w:t>
            </w:r>
          </w:p>
        </w:tc>
        <w:tc>
          <w:tcPr>
            <w:tcW w:type="dxa" w:w="2340"/>
            <w:shd w:val="clear" w:color="auto" w:fill="0F2D5E"/>
          </w:tcPr>
          <w:p>
            <w:pPr>
              <w:spacing w:before="120" w:after="120"/>
              <w:jc w:val="center"/>
            </w:pPr>
            <w:r>
              <w:rPr>
                <w:rFonts w:ascii="Calibri" w:hAnsi="Calibri"/>
                <w:b/>
                <w:i w:val="0"/>
                <w:color w:val="FFFFFF"/>
                <w:sz w:val="18"/>
              </w:rPr>
              <w:t>Starting Lead Time</w:t>
              <w:br/>
            </w:r>
            <w:r>
              <w:rPr>
                <w:rFonts w:ascii="Calibri" w:hAnsi="Calibri"/>
                <w:b/>
                <w:i w:val="0"/>
                <w:color w:val="DBEAFE"/>
                <w:sz w:val="22"/>
              </w:rPr>
              <w:t>42 Business Days</w:t>
            </w:r>
          </w:p>
        </w:tc>
        <w:tc>
          <w:tcPr>
            <w:tcW w:type="dxa" w:w="2340"/>
            <w:shd w:val="clear" w:color="auto" w:fill="0F2D5E"/>
          </w:tcPr>
          <w:p>
            <w:pPr>
              <w:spacing w:before="120" w:after="120"/>
              <w:jc w:val="center"/>
            </w:pPr>
            <w:r>
              <w:rPr>
                <w:rFonts w:ascii="Calibri" w:hAnsi="Calibri"/>
                <w:b/>
                <w:i w:val="0"/>
                <w:color w:val="FFFFFF"/>
                <w:sz w:val="18"/>
              </w:rPr>
              <w:t>Starting Flow Efficiency</w:t>
              <w:br/>
            </w:r>
            <w:r>
              <w:rPr>
                <w:rFonts w:ascii="Calibri" w:hAnsi="Calibri"/>
                <w:b/>
                <w:i w:val="0"/>
                <w:color w:val="DBEAFE"/>
                <w:sz w:val="22"/>
              </w:rPr>
              <w:t>17.8%</w:t>
            </w:r>
          </w:p>
        </w:tc>
      </w:tr>
    </w:tbl>
    <w:p/>
    <w:p>
      <w:pPr>
        <w:spacing w:before="400" w:after="120"/>
      </w:pPr>
      <w:r>
        <w:rPr>
          <w:rFonts w:ascii="Calibri" w:hAnsi="Calibri"/>
          <w:b/>
          <w:i w:val="0"/>
          <w:color w:val="0F2D5E"/>
          <w:sz w:val="32"/>
        </w:rPr>
        <w:t>The Challenge</w:t>
      </w:r>
    </w:p>
    <w:p>
      <w:pPr>
        <w:spacing w:after="80"/>
      </w:pPr>
      <w:r>
        <w:rPr>
          <w:rFonts w:ascii="Calibri" w:hAnsi="Calibri"/>
          <w:b w:val="0"/>
          <w:i w:val="0"/>
          <w:sz w:val="21"/>
        </w:rPr>
        <w:t>US Bank's Team Phoenix was responsible for a core digital lending platform serving 2.4 million retail customers. Despite significant investment in agile transformation over the preceding three years, the team's software delivery performance had plateaued — and in some measures, regressed.</w:t>
      </w:r>
    </w:p>
    <w:p>
      <w:pPr>
        <w:spacing w:after="80"/>
      </w:pPr>
      <w:r>
        <w:rPr>
          <w:rFonts w:ascii="Calibri" w:hAnsi="Calibri"/>
          <w:b w:val="0"/>
          <w:i w:val="0"/>
          <w:sz w:val="21"/>
        </w:rPr>
        <w:t>The symptoms were visible: features committed in Q1 planning routinely shipped in Q2 or Q3. Sprint velocity looked stable, but customer outcomes — measured in time-to-market for new lending products — had not improved. The CTO described it as 'running faster on a treadmill.'</w:t>
      </w:r>
    </w:p>
    <w:p>
      <w:pPr>
        <w:spacing w:before="240" w:after="80"/>
      </w:pPr>
      <w:r>
        <w:rPr>
          <w:rFonts w:ascii="Calibri" w:hAnsi="Calibri"/>
          <w:b/>
          <w:i w:val="0"/>
          <w:color w:val="2563EB"/>
          <w:sz w:val="26"/>
        </w:rPr>
        <w:t>The Presenting Problem</w:t>
      </w:r>
    </w:p>
    <w:p>
      <w:pPr>
        <w:pStyle w:val="ListBullet"/>
        <w:spacing w:after="40"/>
        <w:ind w:left="432"/>
      </w:pPr>
      <w:r>
        <w:rPr>
          <w:rFonts w:ascii="Calibri" w:hAnsi="Calibri"/>
          <w:b w:val="0"/>
          <w:i w:val="0"/>
          <w:sz w:val="21"/>
        </w:rPr>
        <w:t>Average lead time: 42 business days (8.5 weeks from commit to production)</w:t>
      </w:r>
    </w:p>
    <w:p>
      <w:pPr>
        <w:pStyle w:val="ListBullet"/>
        <w:spacing w:after="40"/>
        <w:ind w:left="432"/>
      </w:pPr>
      <w:r>
        <w:rPr>
          <w:rFonts w:ascii="Calibri" w:hAnsi="Calibri"/>
          <w:b w:val="0"/>
          <w:i w:val="0"/>
          <w:sz w:val="21"/>
        </w:rPr>
        <w:t>Flow efficiency: 17.8% (only 17.8% of elapsed time was active engineering work)</w:t>
      </w:r>
    </w:p>
    <w:p>
      <w:pPr>
        <w:pStyle w:val="ListBullet"/>
        <w:spacing w:after="40"/>
        <w:ind w:left="432"/>
      </w:pPr>
      <w:r>
        <w:rPr>
          <w:rFonts w:ascii="Calibri" w:hAnsi="Calibri"/>
          <w:b w:val="0"/>
          <w:i w:val="0"/>
          <w:sz w:val="21"/>
        </w:rPr>
        <w:t>DORA level: Medium (weekly deployments, 3-day MTTR, 14% change failure rate)</w:t>
      </w:r>
    </w:p>
    <w:p>
      <w:pPr>
        <w:pStyle w:val="ListBullet"/>
        <w:spacing w:after="40"/>
        <w:ind w:left="432"/>
      </w:pPr>
      <w:r>
        <w:rPr>
          <w:rFonts w:ascii="Calibri" w:hAnsi="Calibri"/>
          <w:b w:val="0"/>
          <w:i w:val="0"/>
          <w:sz w:val="21"/>
        </w:rPr>
        <w:t>Defect escape rate: 19% of changes required post-production hotfix within 30 days</w:t>
      </w:r>
    </w:p>
    <w:p>
      <w:pPr>
        <w:pStyle w:val="ListBullet"/>
        <w:spacing w:after="40"/>
        <w:ind w:left="432"/>
      </w:pPr>
      <w:r>
        <w:rPr>
          <w:rFonts w:ascii="Calibri" w:hAnsi="Calibri"/>
          <w:b w:val="0"/>
          <w:i w:val="0"/>
          <w:sz w:val="21"/>
        </w:rPr>
        <w:t>Engineering morale: bottom-quartile on internal engagement survey; 'too much waiting, not enough building'</w:t>
      </w:r>
    </w:p>
    <w:p>
      <w:pPr>
        <w:spacing w:after="80"/>
      </w:pPr>
      <w:r>
        <w:rPr>
          <w:rFonts w:ascii="Calibri" w:hAnsi="Calibri"/>
          <w:b w:val="0"/>
          <w:i w:val="0"/>
          <w:sz w:val="21"/>
        </w:rPr>
        <w:t>Three prior transformation initiatives had been launched in five years. Each produced a playbook. None had produced a measurable reduction in lead time. The organisation had transformation fatigue and a board that was sceptical of further investment without evidence of a different approach.</w:t>
      </w:r>
    </w:p>
    <w:tbl>
      <w:tblPr>
        <w:tblStyle w:val="TableGrid"/>
        <w:tblW w:type="auto" w:w="0"/>
        <w:tblLook w:firstColumn="1" w:firstRow="1" w:lastColumn="0" w:lastRow="0" w:noHBand="0" w:noVBand="1" w:val="04A0"/>
      </w:tblPr>
      <w:tblGrid>
        <w:gridCol w:w="9360"/>
      </w:tblGrid>
      <w:tr>
        <w:tc>
          <w:tcPr>
            <w:tcW w:type="dxa" w:w="9360"/>
            <w:shd w:val="clear" w:color="auto" w:fill="FEF3C7"/>
          </w:tcPr>
          <w:p>
            <w:r>
              <w:rPr>
                <w:rFonts w:ascii="Calibri" w:hAnsi="Calibri"/>
                <w:b w:val="0"/>
                <w:i/>
                <w:color w:val="0F2D5E"/>
                <w:sz w:val="21"/>
              </w:rPr>
              <w:t>The critical gap: No prior initiative had ever quantified exactly where the 42 days were being consumed. The organisation had opinions about its bottlenecks. It had no data.</w:t>
            </w:r>
          </w:p>
        </w:tc>
      </w:tr>
    </w:tbl>
    <w:p/>
    <w:p>
      <w:pPr>
        <w:spacing w:before="60" w:after="60"/>
        <w:pBdr>
          <w:bottom w:val="single" w:sz="6" w:space="1" w:color="2563EB"/>
        </w:pBdr>
      </w:pPr>
    </w:p>
    <w:p>
      <w:pPr>
        <w:spacing w:before="400" w:after="120"/>
      </w:pPr>
      <w:r>
        <w:rPr>
          <w:rFonts w:ascii="Calibri" w:hAnsi="Calibri"/>
          <w:b/>
          <w:i w:val="0"/>
          <w:color w:val="0F2D5E"/>
          <w:sz w:val="32"/>
        </w:rPr>
        <w:t>Phase 1: DIAGNOSE</w:t>
      </w:r>
    </w:p>
    <w:p>
      <w:pPr>
        <w:spacing w:before="240" w:after="80"/>
      </w:pPr>
      <w:r>
        <w:rPr>
          <w:rFonts w:ascii="Calibri" w:hAnsi="Calibri"/>
          <w:b/>
          <w:i w:val="0"/>
          <w:color w:val="2563EB"/>
          <w:sz w:val="26"/>
        </w:rPr>
        <w:t>What the VSM Revealed</w:t>
      </w:r>
    </w:p>
    <w:p>
      <w:pPr>
        <w:spacing w:after="80"/>
      </w:pPr>
      <w:r>
        <w:rPr>
          <w:rFonts w:ascii="Calibri" w:hAnsi="Calibri"/>
          <w:b w:val="0"/>
          <w:i w:val="0"/>
          <w:sz w:val="21"/>
        </w:rPr>
        <w:t>The Phase 1 Diagnose engagement began with an 8-week fixed-fee engagement. The STUMP connected to Team Phoenix's Jira and Azure DevOps environments within 48 hours, extracting 18 months of ticket telemetry covering 2,400 features, 14,000 pull requests, and 8,700 deployments.</w:t>
      </w:r>
    </w:p>
    <w:p>
      <w:pPr>
        <w:spacing w:after="80"/>
      </w:pPr>
      <w:r>
        <w:rPr>
          <w:rFonts w:ascii="Calibri" w:hAnsi="Calibri"/>
          <w:b w:val="0"/>
          <w:i w:val="0"/>
          <w:sz w:val="21"/>
        </w:rPr>
        <w:t>The current state VSM, generated by the platform's AI agents, revealed a picture that surprised even the most experienced engineers on the team:</w:t>
      </w:r>
    </w:p>
    <w:p>
      <w:pPr>
        <w:spacing w:before="160" w:after="60"/>
      </w:pPr>
      <w:r>
        <w:rPr>
          <w:rFonts w:ascii="Calibri" w:hAnsi="Calibri"/>
          <w:b/>
          <w:i w:val="0"/>
          <w:color w:val="0F2D5E"/>
          <w:sz w:val="22"/>
        </w:rPr>
        <w:t>Where the 42 Days Were Going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592"/>
            <w:shd w:val="clear" w:color="auto" w:fill="0F2D5E"/>
          </w:tcPr>
          <w:p>
            <w:r>
              <w:rPr>
                <w:rFonts w:ascii="Calibri" w:hAnsi="Calibri"/>
                <w:b/>
                <w:i w:val="0"/>
                <w:color w:val="FFFFFF"/>
                <w:sz w:val="19"/>
              </w:rPr>
              <w:t>Process Step</w:t>
            </w:r>
          </w:p>
        </w:tc>
        <w:tc>
          <w:tcPr>
            <w:tcW w:type="dxa" w:w="1584"/>
            <w:shd w:val="clear" w:color="auto" w:fill="0F2D5E"/>
          </w:tcPr>
          <w:p>
            <w:r>
              <w:rPr>
                <w:rFonts w:ascii="Calibri" w:hAnsi="Calibri"/>
                <w:b/>
                <w:i w:val="0"/>
                <w:color w:val="FFFFFF"/>
                <w:sz w:val="19"/>
              </w:rPr>
              <w:t>Process Time</w:t>
            </w:r>
          </w:p>
        </w:tc>
        <w:tc>
          <w:tcPr>
            <w:tcW w:type="dxa" w:w="2016"/>
            <w:shd w:val="clear" w:color="auto" w:fill="0F2D5E"/>
          </w:tcPr>
          <w:p>
            <w:r>
              <w:rPr>
                <w:rFonts w:ascii="Calibri" w:hAnsi="Calibri"/>
                <w:b/>
                <w:i w:val="0"/>
                <w:color w:val="FFFFFF"/>
                <w:sz w:val="19"/>
              </w:rPr>
              <w:t>Lead Time (incl. queue)</w:t>
            </w:r>
          </w:p>
        </w:tc>
        <w:tc>
          <w:tcPr>
            <w:tcW w:type="dxa" w:w="1584"/>
            <w:shd w:val="clear" w:color="auto" w:fill="0F2D5E"/>
          </w:tcPr>
          <w:p>
            <w:r>
              <w:rPr>
                <w:rFonts w:ascii="Calibri" w:hAnsi="Calibri"/>
                <w:b/>
                <w:i w:val="0"/>
                <w:color w:val="FFFFFF"/>
                <w:sz w:val="19"/>
              </w:rPr>
              <w:t>Flow Efficiency</w:t>
            </w:r>
          </w:p>
        </w:tc>
        <w:tc>
          <w:tcPr>
            <w:tcW w:type="dxa" w:w="2592"/>
            <w:shd w:val="clear" w:color="auto" w:fill="0F2D5E"/>
          </w:tcPr>
          <w:p>
            <w:r>
              <w:rPr>
                <w:rFonts w:ascii="Calibri" w:hAnsi="Calibri"/>
                <w:b/>
                <w:i w:val="0"/>
                <w:color w:val="FFFFFF"/>
                <w:sz w:val="19"/>
              </w:rPr>
              <w:t>Primary Waste Type</w:t>
            </w:r>
          </w:p>
        </w:tc>
      </w:tr>
      <w:tr>
        <w:tc>
          <w:tcPr>
            <w:tcW w:type="dxa" w:w="2592"/>
            <w:shd w:val="clear" w:color="auto" w:fill="F3F4F6"/>
          </w:tcPr>
          <w:p>
            <w:r>
              <w:rPr>
                <w:rFonts w:ascii="Calibri" w:hAnsi="Calibri"/>
                <w:b w:val="0"/>
                <w:i w:val="0"/>
                <w:sz w:val="19"/>
              </w:rPr>
              <w:t>Requirements &amp; Acceptance Criteria</w:t>
            </w:r>
          </w:p>
        </w:tc>
        <w:tc>
          <w:tcPr>
            <w:tcW w:type="dxa" w:w="1584"/>
            <w:shd w:val="clear" w:color="auto" w:fill="F3F4F6"/>
          </w:tcPr>
          <w:p>
            <w:r>
              <w:rPr>
                <w:rFonts w:ascii="Calibri" w:hAnsi="Calibri"/>
                <w:b w:val="0"/>
                <w:i w:val="0"/>
                <w:sz w:val="19"/>
              </w:rPr>
              <w:t>2.5 days</w:t>
            </w:r>
          </w:p>
        </w:tc>
        <w:tc>
          <w:tcPr>
            <w:tcW w:type="dxa" w:w="2016"/>
            <w:shd w:val="clear" w:color="auto" w:fill="F3F4F6"/>
          </w:tcPr>
          <w:p>
            <w:r>
              <w:rPr>
                <w:rFonts w:ascii="Calibri" w:hAnsi="Calibri"/>
                <w:b w:val="0"/>
                <w:i w:val="0"/>
                <w:sz w:val="19"/>
              </w:rPr>
              <w:t>8.5 days</w:t>
            </w:r>
          </w:p>
        </w:tc>
        <w:tc>
          <w:tcPr>
            <w:tcW w:type="dxa" w:w="1584"/>
            <w:shd w:val="clear" w:color="auto" w:fill="F3F4F6"/>
          </w:tcPr>
          <w:p>
            <w:r>
              <w:rPr>
                <w:rFonts w:ascii="Calibri" w:hAnsi="Calibri"/>
                <w:b w:val="0"/>
                <w:i w:val="0"/>
                <w:sz w:val="19"/>
              </w:rPr>
              <w:t>29%</w:t>
            </w:r>
          </w:p>
        </w:tc>
        <w:tc>
          <w:tcPr>
            <w:tcW w:type="dxa" w:w="2592"/>
            <w:shd w:val="clear" w:color="auto" w:fill="F3F4F6"/>
          </w:tcPr>
          <w:p>
            <w:r>
              <w:rPr>
                <w:rFonts w:ascii="Calibri" w:hAnsi="Calibri"/>
                <w:b w:val="0"/>
                <w:i w:val="0"/>
                <w:sz w:val="19"/>
              </w:rPr>
              <w:t>Waiting for product review</w:t>
            </w:r>
          </w:p>
        </w:tc>
      </w:tr>
      <w:tr>
        <w:tc>
          <w:tcPr>
            <w:tcW w:type="dxa" w:w="2592"/>
            <w:shd w:val="clear" w:color="auto" w:fill="FFFFFF"/>
          </w:tcPr>
          <w:p>
            <w:r>
              <w:rPr>
                <w:rFonts w:ascii="Calibri" w:hAnsi="Calibri"/>
                <w:b w:val="0"/>
                <w:i w:val="0"/>
                <w:sz w:val="19"/>
              </w:rPr>
              <w:t>Development</w:t>
            </w:r>
          </w:p>
        </w:tc>
        <w:tc>
          <w:tcPr>
            <w:tcW w:type="dxa" w:w="1584"/>
            <w:shd w:val="clear" w:color="auto" w:fill="FFFFFF"/>
          </w:tcPr>
          <w:p>
            <w:r>
              <w:rPr>
                <w:rFonts w:ascii="Calibri" w:hAnsi="Calibri"/>
                <w:b w:val="0"/>
                <w:i w:val="0"/>
                <w:sz w:val="19"/>
              </w:rPr>
              <w:t>5.0 days</w:t>
            </w:r>
          </w:p>
        </w:tc>
        <w:tc>
          <w:tcPr>
            <w:tcW w:type="dxa" w:w="2016"/>
            <w:shd w:val="clear" w:color="auto" w:fill="FFFFFF"/>
          </w:tcPr>
          <w:p>
            <w:r>
              <w:rPr>
                <w:rFonts w:ascii="Calibri" w:hAnsi="Calibri"/>
                <w:b w:val="0"/>
                <w:i w:val="0"/>
                <w:sz w:val="19"/>
              </w:rPr>
              <w:t>9.0 days</w:t>
            </w:r>
          </w:p>
        </w:tc>
        <w:tc>
          <w:tcPr>
            <w:tcW w:type="dxa" w:w="1584"/>
            <w:shd w:val="clear" w:color="auto" w:fill="FFFFFF"/>
          </w:tcPr>
          <w:p>
            <w:r>
              <w:rPr>
                <w:rFonts w:ascii="Calibri" w:hAnsi="Calibri"/>
                <w:b w:val="0"/>
                <w:i w:val="0"/>
                <w:sz w:val="19"/>
              </w:rPr>
              <w:t>56%</w:t>
            </w:r>
          </w:p>
        </w:tc>
        <w:tc>
          <w:tcPr>
            <w:tcW w:type="dxa" w:w="2592"/>
            <w:shd w:val="clear" w:color="auto" w:fill="FFFFFF"/>
          </w:tcPr>
          <w:p>
            <w:r>
              <w:rPr>
                <w:rFonts w:ascii="Calibri" w:hAnsi="Calibri"/>
                <w:b w:val="0"/>
                <w:i w:val="0"/>
                <w:sz w:val="19"/>
              </w:rPr>
              <w:t>Context switching (multi-sprint features)</w:t>
            </w:r>
          </w:p>
        </w:tc>
      </w:tr>
      <w:tr>
        <w:tc>
          <w:tcPr>
            <w:tcW w:type="dxa" w:w="2592"/>
            <w:shd w:val="clear" w:color="auto" w:fill="F3F4F6"/>
          </w:tcPr>
          <w:p>
            <w:r>
              <w:rPr>
                <w:rFonts w:ascii="Calibri" w:hAnsi="Calibri"/>
                <w:b w:val="0"/>
                <w:i w:val="0"/>
                <w:sz w:val="19"/>
              </w:rPr>
              <w:t>Code Review</w:t>
            </w:r>
          </w:p>
        </w:tc>
        <w:tc>
          <w:tcPr>
            <w:tcW w:type="dxa" w:w="1584"/>
            <w:shd w:val="clear" w:color="auto" w:fill="F3F4F6"/>
          </w:tcPr>
          <w:p>
            <w:r>
              <w:rPr>
                <w:rFonts w:ascii="Calibri" w:hAnsi="Calibri"/>
                <w:b w:val="0"/>
                <w:i w:val="0"/>
                <w:sz w:val="19"/>
              </w:rPr>
              <w:t>0.5 days</w:t>
            </w:r>
          </w:p>
        </w:tc>
        <w:tc>
          <w:tcPr>
            <w:tcW w:type="dxa" w:w="2016"/>
            <w:shd w:val="clear" w:color="auto" w:fill="F3F4F6"/>
          </w:tcPr>
          <w:p>
            <w:r>
              <w:rPr>
                <w:rFonts w:ascii="Calibri" w:hAnsi="Calibri"/>
                <w:b w:val="0"/>
                <w:i w:val="0"/>
                <w:sz w:val="19"/>
              </w:rPr>
              <w:t>6.0 days</w:t>
            </w:r>
          </w:p>
        </w:tc>
        <w:tc>
          <w:tcPr>
            <w:tcW w:type="dxa" w:w="1584"/>
            <w:shd w:val="clear" w:color="auto" w:fill="F3F4F6"/>
          </w:tcPr>
          <w:p>
            <w:r>
              <w:rPr>
                <w:rFonts w:ascii="Calibri" w:hAnsi="Calibri"/>
                <w:b w:val="0"/>
                <w:i w:val="0"/>
                <w:sz w:val="19"/>
              </w:rPr>
              <w:t>8%</w:t>
            </w:r>
          </w:p>
        </w:tc>
        <w:tc>
          <w:tcPr>
            <w:tcW w:type="dxa" w:w="2592"/>
            <w:shd w:val="clear" w:color="auto" w:fill="F3F4F6"/>
          </w:tcPr>
          <w:p>
            <w:r>
              <w:rPr>
                <w:rFonts w:ascii="Calibri" w:hAnsi="Calibri"/>
                <w:b w:val="0"/>
                <w:i w:val="0"/>
                <w:sz w:val="19"/>
              </w:rPr>
              <w:t>Queue: 4 reviewers, 200+ PRs/week</w:t>
            </w:r>
          </w:p>
        </w:tc>
      </w:tr>
      <w:tr>
        <w:tc>
          <w:tcPr>
            <w:tcW w:type="dxa" w:w="2592"/>
            <w:shd w:val="clear" w:color="auto" w:fill="FFFFFF"/>
          </w:tcPr>
          <w:p>
            <w:r>
              <w:rPr>
                <w:rFonts w:ascii="Calibri" w:hAnsi="Calibri"/>
                <w:b w:val="0"/>
                <w:i w:val="0"/>
                <w:sz w:val="19"/>
              </w:rPr>
              <w:t>QA / Testing</w:t>
            </w:r>
          </w:p>
        </w:tc>
        <w:tc>
          <w:tcPr>
            <w:tcW w:type="dxa" w:w="1584"/>
            <w:shd w:val="clear" w:color="auto" w:fill="FFFFFF"/>
          </w:tcPr>
          <w:p>
            <w:r>
              <w:rPr>
                <w:rFonts w:ascii="Calibri" w:hAnsi="Calibri"/>
                <w:b w:val="0"/>
                <w:i w:val="0"/>
                <w:sz w:val="19"/>
              </w:rPr>
              <w:t>1.5 days</w:t>
            </w:r>
          </w:p>
        </w:tc>
        <w:tc>
          <w:tcPr>
            <w:tcW w:type="dxa" w:w="2016"/>
            <w:shd w:val="clear" w:color="auto" w:fill="FFFFFF"/>
          </w:tcPr>
          <w:p>
            <w:r>
              <w:rPr>
                <w:rFonts w:ascii="Calibri" w:hAnsi="Calibri"/>
                <w:b w:val="0"/>
                <w:i w:val="0"/>
                <w:sz w:val="19"/>
              </w:rPr>
              <w:t>11.0 days</w:t>
            </w:r>
          </w:p>
        </w:tc>
        <w:tc>
          <w:tcPr>
            <w:tcW w:type="dxa" w:w="1584"/>
            <w:shd w:val="clear" w:color="auto" w:fill="FFFFFF"/>
          </w:tcPr>
          <w:p>
            <w:r>
              <w:rPr>
                <w:rFonts w:ascii="Calibri" w:hAnsi="Calibri"/>
                <w:b w:val="0"/>
                <w:i w:val="0"/>
                <w:sz w:val="19"/>
              </w:rPr>
              <w:t>14%</w:t>
            </w:r>
          </w:p>
        </w:tc>
        <w:tc>
          <w:tcPr>
            <w:tcW w:type="dxa" w:w="2592"/>
            <w:shd w:val="clear" w:color="auto" w:fill="FFFFFF"/>
          </w:tcPr>
          <w:p>
            <w:r>
              <w:rPr>
                <w:rFonts w:ascii="Calibri" w:hAnsi="Calibri"/>
                <w:b w:val="0"/>
                <w:i w:val="0"/>
                <w:sz w:val="19"/>
              </w:rPr>
              <w:t>Environment availability</w:t>
            </w:r>
          </w:p>
        </w:tc>
      </w:tr>
      <w:tr>
        <w:tc>
          <w:tcPr>
            <w:tcW w:type="dxa" w:w="2592"/>
            <w:shd w:val="clear" w:color="auto" w:fill="F3F4F6"/>
          </w:tcPr>
          <w:p>
            <w:r>
              <w:rPr>
                <w:rFonts w:ascii="Calibri" w:hAnsi="Calibri"/>
                <w:b w:val="0"/>
                <w:i w:val="0"/>
                <w:sz w:val="19"/>
              </w:rPr>
              <w:t>Security &amp; Compliance Review</w:t>
            </w:r>
          </w:p>
        </w:tc>
        <w:tc>
          <w:tcPr>
            <w:tcW w:type="dxa" w:w="1584"/>
            <w:shd w:val="clear" w:color="auto" w:fill="F3F4F6"/>
          </w:tcPr>
          <w:p>
            <w:r>
              <w:rPr>
                <w:rFonts w:ascii="Calibri" w:hAnsi="Calibri"/>
                <w:b w:val="0"/>
                <w:i w:val="0"/>
                <w:sz w:val="19"/>
              </w:rPr>
              <w:t>1.0 day</w:t>
            </w:r>
          </w:p>
        </w:tc>
        <w:tc>
          <w:tcPr>
            <w:tcW w:type="dxa" w:w="2016"/>
            <w:shd w:val="clear" w:color="auto" w:fill="F3F4F6"/>
          </w:tcPr>
          <w:p>
            <w:r>
              <w:rPr>
                <w:rFonts w:ascii="Calibri" w:hAnsi="Calibri"/>
                <w:b w:val="0"/>
                <w:i w:val="0"/>
                <w:sz w:val="19"/>
              </w:rPr>
              <w:t>5.5 days</w:t>
            </w:r>
          </w:p>
        </w:tc>
        <w:tc>
          <w:tcPr>
            <w:tcW w:type="dxa" w:w="1584"/>
            <w:shd w:val="clear" w:color="auto" w:fill="F3F4F6"/>
          </w:tcPr>
          <w:p>
            <w:r>
              <w:rPr>
                <w:rFonts w:ascii="Calibri" w:hAnsi="Calibri"/>
                <w:b w:val="0"/>
                <w:i w:val="0"/>
                <w:sz w:val="19"/>
              </w:rPr>
              <w:t>18%</w:t>
            </w:r>
          </w:p>
        </w:tc>
        <w:tc>
          <w:tcPr>
            <w:tcW w:type="dxa" w:w="2592"/>
            <w:shd w:val="clear" w:color="auto" w:fill="F3F4F6"/>
          </w:tcPr>
          <w:p>
            <w:r>
              <w:rPr>
                <w:rFonts w:ascii="Calibri" w:hAnsi="Calibri"/>
                <w:b w:val="0"/>
                <w:i w:val="0"/>
                <w:sz w:val="19"/>
              </w:rPr>
              <w:t>Manual review process, no automation</w:t>
            </w:r>
          </w:p>
        </w:tc>
      </w:tr>
      <w:tr>
        <w:tc>
          <w:tcPr>
            <w:tcW w:type="dxa" w:w="2592"/>
            <w:shd w:val="clear" w:color="auto" w:fill="FFFFFF"/>
          </w:tcPr>
          <w:p>
            <w:r>
              <w:rPr>
                <w:rFonts w:ascii="Calibri" w:hAnsi="Calibri"/>
                <w:b w:val="0"/>
                <w:i w:val="0"/>
                <w:sz w:val="19"/>
              </w:rPr>
              <w:t>Deployment / Release</w:t>
            </w:r>
          </w:p>
        </w:tc>
        <w:tc>
          <w:tcPr>
            <w:tcW w:type="dxa" w:w="1584"/>
            <w:shd w:val="clear" w:color="auto" w:fill="FFFFFF"/>
          </w:tcPr>
          <w:p>
            <w:r>
              <w:rPr>
                <w:rFonts w:ascii="Calibri" w:hAnsi="Calibri"/>
                <w:b w:val="0"/>
                <w:i w:val="0"/>
                <w:sz w:val="19"/>
              </w:rPr>
              <w:t>0.25 days</w:t>
            </w:r>
          </w:p>
        </w:tc>
        <w:tc>
          <w:tcPr>
            <w:tcW w:type="dxa" w:w="2016"/>
            <w:shd w:val="clear" w:color="auto" w:fill="FFFFFF"/>
          </w:tcPr>
          <w:p>
            <w:r>
              <w:rPr>
                <w:rFonts w:ascii="Calibri" w:hAnsi="Calibri"/>
                <w:b w:val="0"/>
                <w:i w:val="0"/>
                <w:sz w:val="19"/>
              </w:rPr>
              <w:t>2.0 days</w:t>
            </w:r>
          </w:p>
        </w:tc>
        <w:tc>
          <w:tcPr>
            <w:tcW w:type="dxa" w:w="1584"/>
            <w:shd w:val="clear" w:color="auto" w:fill="FFFFFF"/>
          </w:tcPr>
          <w:p>
            <w:r>
              <w:rPr>
                <w:rFonts w:ascii="Calibri" w:hAnsi="Calibri"/>
                <w:b w:val="0"/>
                <w:i w:val="0"/>
                <w:sz w:val="19"/>
              </w:rPr>
              <w:t>13%</w:t>
            </w:r>
          </w:p>
        </w:tc>
        <w:tc>
          <w:tcPr>
            <w:tcW w:type="dxa" w:w="2592"/>
            <w:shd w:val="clear" w:color="auto" w:fill="FFFFFF"/>
          </w:tcPr>
          <w:p>
            <w:r>
              <w:rPr>
                <w:rFonts w:ascii="Calibri" w:hAnsi="Calibri"/>
                <w:b w:val="0"/>
                <w:i w:val="0"/>
                <w:sz w:val="19"/>
              </w:rPr>
              <w:t>Change approval board — fortnightly cadence</w:t>
            </w:r>
          </w:p>
        </w:tc>
      </w:tr>
      <w:tr>
        <w:tc>
          <w:tcPr>
            <w:tcW w:type="dxa" w:w="2592"/>
            <w:shd w:val="clear" w:color="auto" w:fill="F3F4F6"/>
          </w:tcPr>
          <w:p>
            <w:r>
              <w:rPr>
                <w:rFonts w:ascii="Calibri" w:hAnsi="Calibri"/>
                <w:b w:val="0"/>
                <w:i w:val="0"/>
                <w:sz w:val="19"/>
              </w:rPr>
              <w:t>TOTAL</w:t>
            </w:r>
          </w:p>
        </w:tc>
        <w:tc>
          <w:tcPr>
            <w:tcW w:type="dxa" w:w="1584"/>
            <w:shd w:val="clear" w:color="auto" w:fill="F3F4F6"/>
          </w:tcPr>
          <w:p>
            <w:r>
              <w:rPr>
                <w:rFonts w:ascii="Calibri" w:hAnsi="Calibri"/>
                <w:b w:val="0"/>
                <w:i w:val="0"/>
                <w:sz w:val="19"/>
              </w:rPr>
              <w:t>10.75 days</w:t>
            </w:r>
          </w:p>
        </w:tc>
        <w:tc>
          <w:tcPr>
            <w:tcW w:type="dxa" w:w="2016"/>
            <w:shd w:val="clear" w:color="auto" w:fill="F3F4F6"/>
          </w:tcPr>
          <w:p>
            <w:r>
              <w:rPr>
                <w:rFonts w:ascii="Calibri" w:hAnsi="Calibri"/>
                <w:b w:val="0"/>
                <w:i w:val="0"/>
                <w:sz w:val="19"/>
              </w:rPr>
              <w:t>42.0 days</w:t>
            </w:r>
          </w:p>
        </w:tc>
        <w:tc>
          <w:tcPr>
            <w:tcW w:type="dxa" w:w="1584"/>
            <w:shd w:val="clear" w:color="auto" w:fill="F3F4F6"/>
          </w:tcPr>
          <w:p>
            <w:r>
              <w:rPr>
                <w:rFonts w:ascii="Calibri" w:hAnsi="Calibri"/>
                <w:b w:val="0"/>
                <w:i w:val="0"/>
                <w:sz w:val="19"/>
              </w:rPr>
              <w:t>25.6%*</w:t>
            </w:r>
          </w:p>
        </w:tc>
        <w:tc>
          <w:tcPr>
            <w:tcW w:type="dxa" w:w="2592"/>
            <w:shd w:val="clear" w:color="auto" w:fill="F3F4F6"/>
          </w:tcPr>
          <w:p>
            <w:r>
              <w:rPr>
                <w:rFonts w:ascii="Calibri" w:hAnsi="Calibri"/>
                <w:b w:val="0"/>
                <w:i w:val="0"/>
                <w:sz w:val="19"/>
              </w:rPr>
              <w:t>*Actual measured FE = 17.8%</w:t>
            </w:r>
          </w:p>
        </w:tc>
      </w:tr>
    </w:tbl>
    <w:p/>
    <w:p>
      <w:pPr>
        <w:spacing w:after="80"/>
      </w:pPr>
      <w:r>
        <w:rPr>
          <w:rFonts w:ascii="Calibri" w:hAnsi="Calibri"/>
          <w:b w:val="0"/>
          <w:i w:val="0"/>
          <w:sz w:val="21"/>
        </w:rPr>
        <w:t>The data revealed three critical findings:</w:t>
      </w:r>
    </w:p>
    <w:p>
      <w:pPr>
        <w:pStyle w:val="ListBullet"/>
        <w:spacing w:after="40"/>
        <w:ind w:left="432"/>
      </w:pPr>
      <w:r>
        <w:rPr>
          <w:rFonts w:ascii="Calibri" w:hAnsi="Calibri"/>
          <w:b/>
          <w:i w:val="0"/>
          <w:sz w:val="21"/>
        </w:rPr>
        <w:t xml:space="preserve">Finding 1: </w:t>
      </w:r>
      <w:r>
        <w:rPr>
          <w:rFonts w:ascii="Calibri" w:hAnsi="Calibri"/>
          <w:b w:val="0"/>
          <w:i w:val="0"/>
          <w:sz w:val="21"/>
        </w:rPr>
        <w:t>Code Review was the primary bottleneck: 4 days of queue time for 30 minutes of actual review. The team had assumed Development was the constraint.</w:t>
      </w:r>
    </w:p>
    <w:p>
      <w:pPr>
        <w:pStyle w:val="ListBullet"/>
        <w:spacing w:after="40"/>
        <w:ind w:left="432"/>
      </w:pPr>
      <w:r>
        <w:rPr>
          <w:rFonts w:ascii="Calibri" w:hAnsi="Calibri"/>
          <w:b/>
          <w:i w:val="0"/>
          <w:sz w:val="21"/>
        </w:rPr>
        <w:t xml:space="preserve">Finding 2: </w:t>
      </w:r>
      <w:r>
        <w:rPr>
          <w:rFonts w:ascii="Calibri" w:hAnsi="Calibri"/>
          <w:b w:val="0"/>
          <w:i w:val="0"/>
          <w:sz w:val="21"/>
        </w:rPr>
        <w:t>The Change Approval Board's fortnightly cadence was adding an average of 1.5 weeks of queue time to every deployment — invisible in sprint metrics but visible in lead time.</w:t>
      </w:r>
    </w:p>
    <w:p>
      <w:pPr>
        <w:pStyle w:val="ListBullet"/>
        <w:spacing w:after="40"/>
        <w:ind w:left="432"/>
      </w:pPr>
      <w:r>
        <w:rPr>
          <w:rFonts w:ascii="Calibri" w:hAnsi="Calibri"/>
          <w:b/>
          <w:i w:val="0"/>
          <w:sz w:val="21"/>
        </w:rPr>
        <w:t xml:space="preserve">Finding 3: </w:t>
      </w:r>
      <w:r>
        <w:rPr>
          <w:rFonts w:ascii="Calibri" w:hAnsi="Calibri"/>
          <w:b w:val="0"/>
          <w:i w:val="0"/>
          <w:sz w:val="21"/>
        </w:rPr>
        <w:t>Security &amp; Compliance Review had 82% queue time. A pre-review automation tool could eliminate 60% of this step's elapsed time without reducing compliance rigour.</w:t>
      </w:r>
    </w:p>
    <w:p>
      <w:pPr>
        <w:spacing w:before="240" w:after="80"/>
      </w:pPr>
      <w:r>
        <w:rPr>
          <w:rFonts w:ascii="Calibri" w:hAnsi="Calibri"/>
          <w:b/>
          <w:i w:val="0"/>
          <w:color w:val="2563EB"/>
          <w:sz w:val="26"/>
        </w:rPr>
        <w:t>Speed, Productivity, and Quality — Quantified</w:t>
      </w:r>
    </w:p>
    <w:tbl>
      <w:tblPr>
        <w:tblStyle w:val="TableGrid"/>
        <w:tblW w:type="auto" w:w="0"/>
        <w:tblLook w:firstColumn="1" w:firstRow="1" w:lastColumn="0" w:lastRow="0" w:noHBand="0" w:noVBand="1" w:val="04A0"/>
      </w:tblPr>
      <w:tblGrid>
        <w:gridCol w:w="3120"/>
        <w:gridCol w:w="3120"/>
        <w:gridCol w:w="3120"/>
      </w:tblGrid>
      <w:tr>
        <w:tc>
          <w:tcPr>
            <w:tcW w:type="dxa" w:w="1728"/>
            <w:shd w:val="clear" w:color="auto" w:fill="0F2D5E"/>
          </w:tcPr>
          <w:p>
            <w:r>
              <w:rPr>
                <w:rFonts w:ascii="Calibri" w:hAnsi="Calibri"/>
                <w:b/>
                <w:i w:val="0"/>
                <w:color w:val="FFFFFF"/>
                <w:sz w:val="19"/>
              </w:rPr>
              <w:t>Dimension</w:t>
            </w:r>
          </w:p>
        </w:tc>
        <w:tc>
          <w:tcPr>
            <w:tcW w:type="dxa" w:w="5760"/>
            <w:shd w:val="clear" w:color="auto" w:fill="0F2D5E"/>
          </w:tcPr>
          <w:p>
            <w:r>
              <w:rPr>
                <w:rFonts w:ascii="Calibri" w:hAnsi="Calibri"/>
                <w:b/>
                <w:i w:val="0"/>
                <w:color w:val="FFFFFF"/>
                <w:sz w:val="19"/>
              </w:rPr>
              <w:t>Finding</w:t>
            </w:r>
          </w:p>
        </w:tc>
        <w:tc>
          <w:tcPr>
            <w:tcW w:type="dxa" w:w="1440"/>
            <w:shd w:val="clear" w:color="auto" w:fill="0F2D5E"/>
          </w:tcPr>
          <w:p>
            <w:r>
              <w:rPr>
                <w:rFonts w:ascii="Calibri" w:hAnsi="Calibri"/>
                <w:b/>
                <w:i w:val="0"/>
                <w:color w:val="FFFFFF"/>
                <w:sz w:val="19"/>
              </w:rPr>
              <w:t>Annual Cost Estimate</w:t>
            </w:r>
          </w:p>
        </w:tc>
      </w:tr>
      <w:tr>
        <w:tc>
          <w:tcPr>
            <w:tcW w:type="dxa" w:w="1728"/>
            <w:shd w:val="clear" w:color="auto" w:fill="F3F4F6"/>
          </w:tcPr>
          <w:p>
            <w:r>
              <w:rPr>
                <w:rFonts w:ascii="Calibri" w:hAnsi="Calibri"/>
                <w:b w:val="0"/>
                <w:i w:val="0"/>
                <w:sz w:val="19"/>
              </w:rPr>
              <w:t>Speed</w:t>
            </w:r>
          </w:p>
        </w:tc>
        <w:tc>
          <w:tcPr>
            <w:tcW w:type="dxa" w:w="5760"/>
            <w:shd w:val="clear" w:color="auto" w:fill="F3F4F6"/>
          </w:tcPr>
          <w:p>
            <w:r>
              <w:rPr>
                <w:rFonts w:ascii="Calibri" w:hAnsi="Calibri"/>
                <w:b w:val="0"/>
                <w:i w:val="0"/>
                <w:sz w:val="19"/>
              </w:rPr>
              <w:t>31.25 days of the 42-day LT is pure queue/wait. At $220K/FTE, this represents $5.2M/yr in misallocated capacity.</w:t>
            </w:r>
          </w:p>
        </w:tc>
        <w:tc>
          <w:tcPr>
            <w:tcW w:type="dxa" w:w="1440"/>
            <w:shd w:val="clear" w:color="auto" w:fill="F3F4F6"/>
          </w:tcPr>
          <w:p>
            <w:r>
              <w:rPr>
                <w:rFonts w:ascii="Calibri" w:hAnsi="Calibri"/>
                <w:b w:val="0"/>
                <w:i w:val="0"/>
                <w:sz w:val="19"/>
              </w:rPr>
              <w:t>$5.2M/year</w:t>
            </w:r>
          </w:p>
        </w:tc>
      </w:tr>
      <w:tr>
        <w:tc>
          <w:tcPr>
            <w:tcW w:type="dxa" w:w="1728"/>
            <w:shd w:val="clear" w:color="auto" w:fill="FFFFFF"/>
          </w:tcPr>
          <w:p>
            <w:r>
              <w:rPr>
                <w:rFonts w:ascii="Calibri" w:hAnsi="Calibri"/>
                <w:b w:val="0"/>
                <w:i w:val="0"/>
                <w:sz w:val="19"/>
              </w:rPr>
              <w:t>Productivity</w:t>
            </w:r>
          </w:p>
        </w:tc>
        <w:tc>
          <w:tcPr>
            <w:tcW w:type="dxa" w:w="5760"/>
            <w:shd w:val="clear" w:color="auto" w:fill="FFFFFF"/>
          </w:tcPr>
          <w:p>
            <w:r>
              <w:rPr>
                <w:rFonts w:ascii="Calibri" w:hAnsi="Calibri"/>
                <w:b w:val="0"/>
                <w:i w:val="0"/>
                <w:sz w:val="19"/>
              </w:rPr>
              <w:t>24% of sprint capacity consumed by rework and defect resolution. Equivalent to 43 FTEs delivering zero customer value.</w:t>
            </w:r>
          </w:p>
        </w:tc>
        <w:tc>
          <w:tcPr>
            <w:tcW w:type="dxa" w:w="1440"/>
            <w:shd w:val="clear" w:color="auto" w:fill="FFFFFF"/>
          </w:tcPr>
          <w:p>
            <w:r>
              <w:rPr>
                <w:rFonts w:ascii="Calibri" w:hAnsi="Calibri"/>
                <w:b w:val="0"/>
                <w:i w:val="0"/>
                <w:sz w:val="19"/>
              </w:rPr>
              <w:t>$9.5M/year (rework)</w:t>
            </w:r>
          </w:p>
        </w:tc>
      </w:tr>
      <w:tr>
        <w:tc>
          <w:tcPr>
            <w:tcW w:type="dxa" w:w="1728"/>
            <w:shd w:val="clear" w:color="auto" w:fill="F3F4F6"/>
          </w:tcPr>
          <w:p>
            <w:r>
              <w:rPr>
                <w:rFonts w:ascii="Calibri" w:hAnsi="Calibri"/>
                <w:b w:val="0"/>
                <w:i w:val="0"/>
                <w:sz w:val="19"/>
              </w:rPr>
              <w:t>Quality</w:t>
            </w:r>
          </w:p>
        </w:tc>
        <w:tc>
          <w:tcPr>
            <w:tcW w:type="dxa" w:w="5760"/>
            <w:shd w:val="clear" w:color="auto" w:fill="F3F4F6"/>
          </w:tcPr>
          <w:p>
            <w:r>
              <w:rPr>
                <w:rFonts w:ascii="Calibri" w:hAnsi="Calibri"/>
                <w:b w:val="0"/>
                <w:i w:val="0"/>
                <w:sz w:val="19"/>
              </w:rPr>
              <w:t>19% defect escape rate driving $1.2M/year in production incident costs and 8% developer time on hotfix.</w:t>
            </w:r>
          </w:p>
        </w:tc>
        <w:tc>
          <w:tcPr>
            <w:tcW w:type="dxa" w:w="1440"/>
            <w:shd w:val="clear" w:color="auto" w:fill="F3F4F6"/>
          </w:tcPr>
          <w:p>
            <w:r>
              <w:rPr>
                <w:rFonts w:ascii="Calibri" w:hAnsi="Calibri"/>
                <w:b w:val="0"/>
                <w:i w:val="0"/>
                <w:sz w:val="19"/>
              </w:rPr>
              <w:t>$1.2M/year</w:t>
            </w:r>
          </w:p>
        </w:tc>
      </w:tr>
      <w:tr>
        <w:tc>
          <w:tcPr>
            <w:tcW w:type="dxa" w:w="1728"/>
            <w:shd w:val="clear" w:color="auto" w:fill="FFFFFF"/>
          </w:tcPr>
          <w:p>
            <w:r>
              <w:rPr>
                <w:rFonts w:ascii="Calibri" w:hAnsi="Calibri"/>
                <w:b w:val="0"/>
                <w:i w:val="0"/>
                <w:sz w:val="19"/>
              </w:rPr>
              <w:t>TOTAL BOTTLENECK COST</w:t>
            </w:r>
          </w:p>
        </w:tc>
        <w:tc>
          <w:tcPr>
            <w:tcW w:type="dxa" w:w="5760"/>
            <w:shd w:val="clear" w:color="auto" w:fill="FFFFFF"/>
          </w:tcPr>
          <w:p>
            <w:r>
              <w:rPr>
                <w:rFonts w:ascii="Calibri" w:hAnsi="Calibri"/>
                <w:b w:val="0"/>
                <w:i w:val="0"/>
                <w:sz w:val="19"/>
              </w:rPr>
            </w:r>
          </w:p>
        </w:tc>
        <w:tc>
          <w:tcPr>
            <w:tcW w:type="dxa" w:w="1440"/>
            <w:shd w:val="clear" w:color="auto" w:fill="FFFFFF"/>
          </w:tcPr>
          <w:p>
            <w:r>
              <w:rPr>
                <w:rFonts w:ascii="Calibri" w:hAnsi="Calibri"/>
                <w:b w:val="0"/>
                <w:i w:val="0"/>
                <w:sz w:val="19"/>
              </w:rPr>
              <w:t>$15.9M/year (measured)</w:t>
            </w:r>
          </w:p>
        </w:tc>
      </w:tr>
    </w:tbl>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'When we saw $15.9 million on a slide — measured from our own data, not an estimate — the CFO leaned forward. That was the moment the conversation changed.' — VP Engineering, US Bank Team Phoenix</w:t>
            </w:r>
          </w:p>
        </w:tc>
      </w:tr>
    </w:tbl>
    <w:p/>
    <w:p>
      <w:pPr>
        <w:spacing w:before="60" w:after="60"/>
        <w:pBdr>
          <w:bottom w:val="single" w:sz="6" w:space="1" w:color="2563EB"/>
        </w:pBdr>
      </w:pPr>
    </w:p>
    <w:p>
      <w:pPr>
        <w:spacing w:before="400" w:after="120"/>
      </w:pPr>
      <w:r>
        <w:rPr>
          <w:rFonts w:ascii="Calibri" w:hAnsi="Calibri"/>
          <w:b/>
          <w:i w:val="0"/>
          <w:color w:val="0F2D5E"/>
          <w:sz w:val="32"/>
        </w:rPr>
        <w:t>Phase 2: DESIGN</w:t>
      </w:r>
    </w:p>
    <w:p>
      <w:pPr>
        <w:spacing w:before="240" w:after="80"/>
      </w:pPr>
      <w:r>
        <w:rPr>
          <w:rFonts w:ascii="Calibri" w:hAnsi="Calibri"/>
          <w:b/>
          <w:i w:val="0"/>
          <w:color w:val="2563EB"/>
          <w:sz w:val="26"/>
        </w:rPr>
        <w:t>Three Options Presented to the Leadership Team</w:t>
      </w:r>
    </w:p>
    <w:p>
      <w:pPr>
        <w:spacing w:after="80"/>
      </w:pPr>
      <w:r>
        <w:rPr>
          <w:rFonts w:ascii="Calibri" w:hAnsi="Calibri"/>
          <w:b w:val="0"/>
          <w:i w:val="0"/>
          <w:sz w:val="21"/>
        </w:rPr>
        <w:t>At the Phase 1 close, the consulting team presented all three transformation options to the US Bank executive team, including the CTO, CFO, and Chief Risk Officer. Each option was evaluated against the measured bottleneck cost of $15.9M/year.</w:t>
      </w:r>
    </w:p>
    <w:tbl>
      <w:tblPr>
        <w:tblStyle w:val="TableGrid"/>
        <w:tblW w:type="auto" w:w="0"/>
        <w:tblLook w:firstColumn="1" w:firstRow="1" w:lastColumn="0" w:lastRow="0" w:noHBand="0" w:noVBand="1" w:val="04A0"/>
      </w:tblPr>
      <w:tblGrid>
        <w:gridCol w:w="2340"/>
        <w:gridCol w:w="2340"/>
        <w:gridCol w:w="2340"/>
        <w:gridCol w:w="2340"/>
      </w:tblGrid>
      <w:tr>
        <w:tc>
          <w:tcPr>
            <w:tcW w:type="dxa" w:w="2304"/>
            <w:shd w:val="clear" w:color="auto" w:fill="0F2D5E"/>
          </w:tcPr>
          <w:p>
            <w:r>
              <w:rPr>
                <w:rFonts w:ascii="Calibri" w:hAnsi="Calibri"/>
                <w:b/>
                <w:i w:val="0"/>
                <w:color w:val="FFFFFF"/>
                <w:sz w:val="19"/>
              </w:rPr>
            </w:r>
          </w:p>
        </w:tc>
        <w:tc>
          <w:tcPr>
            <w:tcW w:type="dxa" w:w="1872"/>
            <w:shd w:val="clear" w:color="auto" w:fill="0F2D5E"/>
          </w:tcPr>
          <w:p>
            <w:r>
              <w:rPr>
                <w:rFonts w:ascii="Calibri" w:hAnsi="Calibri"/>
                <w:b/>
                <w:i w:val="0"/>
                <w:color w:val="FFFFFF"/>
                <w:sz w:val="19"/>
              </w:rPr>
              <w:t>Option A</w:t>
            </w:r>
          </w:p>
        </w:tc>
        <w:tc>
          <w:tcPr>
            <w:tcW w:type="dxa" w:w="2304"/>
            <w:shd w:val="clear" w:color="auto" w:fill="0F2D5E"/>
          </w:tcPr>
          <w:p>
            <w:r>
              <w:rPr>
                <w:rFonts w:ascii="Calibri" w:hAnsi="Calibri"/>
                <w:b/>
                <w:i w:val="0"/>
                <w:color w:val="FFFFFF"/>
                <w:sz w:val="19"/>
              </w:rPr>
              <w:t>Option B ★</w:t>
            </w:r>
          </w:p>
        </w:tc>
        <w:tc>
          <w:tcPr>
            <w:tcW w:type="dxa" w:w="1872"/>
            <w:shd w:val="clear" w:color="auto" w:fill="0F2D5E"/>
          </w:tcPr>
          <w:p>
            <w:r>
              <w:rPr>
                <w:rFonts w:ascii="Calibri" w:hAnsi="Calibri"/>
                <w:b/>
                <w:i w:val="0"/>
                <w:color w:val="FFFFFF"/>
                <w:sz w:val="19"/>
              </w:rPr>
              <w:t>Option C</w:t>
            </w:r>
          </w:p>
        </w:tc>
      </w:tr>
      <w:tr>
        <w:tc>
          <w:tcPr>
            <w:tcW w:type="dxa" w:w="2304"/>
            <w:shd w:val="clear" w:color="auto" w:fill="F3F4F6"/>
          </w:tcPr>
          <w:p>
            <w:r>
              <w:rPr>
                <w:rFonts w:ascii="Calibri" w:hAnsi="Calibri"/>
                <w:b w:val="0"/>
                <w:i w:val="0"/>
                <w:sz w:val="19"/>
              </w:rPr>
              <w:t>Model</w:t>
            </w:r>
          </w:p>
        </w:tc>
        <w:tc>
          <w:tcPr>
            <w:tcW w:type="dxa" w:w="1872"/>
            <w:shd w:val="clear" w:color="auto" w:fill="F3F4F6"/>
          </w:tcPr>
          <w:p>
            <w:r>
              <w:rPr>
                <w:rFonts w:ascii="Calibri" w:hAnsi="Calibri"/>
                <w:b w:val="0"/>
                <w:i w:val="0"/>
                <w:sz w:val="19"/>
              </w:rPr>
              <w:t>Human in the loop</w:t>
            </w:r>
          </w:p>
        </w:tc>
        <w:tc>
          <w:tcPr>
            <w:tcW w:type="dxa" w:w="2304"/>
            <w:shd w:val="clear" w:color="auto" w:fill="F3F4F6"/>
          </w:tcPr>
          <w:p>
            <w:r>
              <w:rPr>
                <w:rFonts w:ascii="Calibri" w:hAnsi="Calibri"/>
                <w:b w:val="0"/>
                <w:i w:val="0"/>
                <w:sz w:val="19"/>
              </w:rPr>
              <w:t>Human on the loop</w:t>
            </w:r>
          </w:p>
        </w:tc>
        <w:tc>
          <w:tcPr>
            <w:tcW w:type="dxa" w:w="1872"/>
            <w:shd w:val="clear" w:color="auto" w:fill="F3F4F6"/>
          </w:tcPr>
          <w:p>
            <w:r>
              <w:rPr>
                <w:rFonts w:ascii="Calibri" w:hAnsi="Calibri"/>
                <w:b w:val="0"/>
                <w:i w:val="0"/>
                <w:sz w:val="19"/>
              </w:rPr>
              <w:t>Human above the loop</w:t>
            </w:r>
          </w:p>
        </w:tc>
      </w:tr>
      <w:tr>
        <w:tc>
          <w:tcPr>
            <w:tcW w:type="dxa" w:w="2304"/>
            <w:shd w:val="clear" w:color="auto" w:fill="FFFFFF"/>
          </w:tcPr>
          <w:p>
            <w:r>
              <w:rPr>
                <w:rFonts w:ascii="Calibri" w:hAnsi="Calibri"/>
                <w:b w:val="0"/>
                <w:i w:val="0"/>
                <w:sz w:val="19"/>
              </w:rPr>
              <w:t>Investment</w:t>
            </w:r>
          </w:p>
        </w:tc>
        <w:tc>
          <w:tcPr>
            <w:tcW w:type="dxa" w:w="1872"/>
            <w:shd w:val="clear" w:color="auto" w:fill="FFFFFF"/>
          </w:tcPr>
          <w:p>
            <w:r>
              <w:rPr>
                <w:rFonts w:ascii="Calibri" w:hAnsi="Calibri"/>
                <w:b w:val="0"/>
                <w:i w:val="0"/>
                <w:sz w:val="19"/>
              </w:rPr>
              <w:t>$475K</w:t>
            </w:r>
          </w:p>
        </w:tc>
        <w:tc>
          <w:tcPr>
            <w:tcW w:type="dxa" w:w="2304"/>
            <w:shd w:val="clear" w:color="auto" w:fill="FFFFFF"/>
          </w:tcPr>
          <w:p>
            <w:r>
              <w:rPr>
                <w:rFonts w:ascii="Calibri" w:hAnsi="Calibri"/>
                <w:b w:val="0"/>
                <w:i w:val="0"/>
                <w:sz w:val="19"/>
              </w:rPr>
              <w:t>$1.6M</w:t>
            </w:r>
          </w:p>
        </w:tc>
        <w:tc>
          <w:tcPr>
            <w:tcW w:type="dxa" w:w="1872"/>
            <w:shd w:val="clear" w:color="auto" w:fill="FFFFFF"/>
          </w:tcPr>
          <w:p>
            <w:r>
              <w:rPr>
                <w:rFonts w:ascii="Calibri" w:hAnsi="Calibri"/>
                <w:b w:val="0"/>
                <w:i w:val="0"/>
                <w:sz w:val="19"/>
              </w:rPr>
              <w:t>$4.0M</w:t>
            </w:r>
          </w:p>
        </w:tc>
      </w:tr>
      <w:tr>
        <w:tc>
          <w:tcPr>
            <w:tcW w:type="dxa" w:w="2304"/>
            <w:shd w:val="clear" w:color="auto" w:fill="F3F4F6"/>
          </w:tcPr>
          <w:p>
            <w:r>
              <w:rPr>
                <w:rFonts w:ascii="Calibri" w:hAnsi="Calibri"/>
                <w:b w:val="0"/>
                <w:i w:val="0"/>
                <w:sz w:val="19"/>
              </w:rPr>
              <w:t>Annual Benefit (Est.)</w:t>
            </w:r>
          </w:p>
        </w:tc>
        <w:tc>
          <w:tcPr>
            <w:tcW w:type="dxa" w:w="1872"/>
            <w:shd w:val="clear" w:color="auto" w:fill="F3F4F6"/>
          </w:tcPr>
          <w:p>
            <w:r>
              <w:rPr>
                <w:rFonts w:ascii="Calibri" w:hAnsi="Calibri"/>
                <w:b w:val="0"/>
                <w:i w:val="0"/>
                <w:sz w:val="19"/>
              </w:rPr>
              <w:t>$2.4M</w:t>
            </w:r>
          </w:p>
        </w:tc>
        <w:tc>
          <w:tcPr>
            <w:tcW w:type="dxa" w:w="2304"/>
            <w:shd w:val="clear" w:color="auto" w:fill="F3F4F6"/>
          </w:tcPr>
          <w:p>
            <w:r>
              <w:rPr>
                <w:rFonts w:ascii="Calibri" w:hAnsi="Calibri"/>
                <w:b w:val="0"/>
                <w:i w:val="0"/>
                <w:sz w:val="19"/>
              </w:rPr>
              <w:t>$8.4M</w:t>
            </w:r>
          </w:p>
        </w:tc>
        <w:tc>
          <w:tcPr>
            <w:tcW w:type="dxa" w:w="1872"/>
            <w:shd w:val="clear" w:color="auto" w:fill="F3F4F6"/>
          </w:tcPr>
          <w:p>
            <w:r>
              <w:rPr>
                <w:rFonts w:ascii="Calibri" w:hAnsi="Calibri"/>
                <w:b w:val="0"/>
                <w:i w:val="0"/>
                <w:sz w:val="19"/>
              </w:rPr>
              <w:t>$12.2M</w:t>
            </w:r>
          </w:p>
        </w:tc>
      </w:tr>
      <w:tr>
        <w:tc>
          <w:tcPr>
            <w:tcW w:type="dxa" w:w="2304"/>
            <w:shd w:val="clear" w:color="auto" w:fill="FFFFFF"/>
          </w:tcPr>
          <w:p>
            <w:r>
              <w:rPr>
                <w:rFonts w:ascii="Calibri" w:hAnsi="Calibri"/>
                <w:b w:val="0"/>
                <w:i w:val="0"/>
                <w:sz w:val="19"/>
              </w:rPr>
              <w:t>Payback</w:t>
            </w:r>
          </w:p>
        </w:tc>
        <w:tc>
          <w:tcPr>
            <w:tcW w:type="dxa" w:w="1872"/>
            <w:shd w:val="clear" w:color="auto" w:fill="FFFFFF"/>
          </w:tcPr>
          <w:p>
            <w:r>
              <w:rPr>
                <w:rFonts w:ascii="Calibri" w:hAnsi="Calibri"/>
                <w:b w:val="0"/>
                <w:i w:val="0"/>
                <w:sz w:val="19"/>
              </w:rPr>
              <w:t>24 months</w:t>
            </w:r>
          </w:p>
        </w:tc>
        <w:tc>
          <w:tcPr>
            <w:tcW w:type="dxa" w:w="2304"/>
            <w:shd w:val="clear" w:color="auto" w:fill="FFFFFF"/>
          </w:tcPr>
          <w:p>
            <w:r>
              <w:rPr>
                <w:rFonts w:ascii="Calibri" w:hAnsi="Calibri"/>
                <w:b w:val="0"/>
                <w:i w:val="0"/>
                <w:sz w:val="19"/>
              </w:rPr>
              <w:t>14 months</w:t>
            </w:r>
          </w:p>
        </w:tc>
        <w:tc>
          <w:tcPr>
            <w:tcW w:type="dxa" w:w="1872"/>
            <w:shd w:val="clear" w:color="auto" w:fill="FFFFFF"/>
          </w:tcPr>
          <w:p>
            <w:r>
              <w:rPr>
                <w:rFonts w:ascii="Calibri" w:hAnsi="Calibri"/>
                <w:b w:val="0"/>
                <w:i w:val="0"/>
                <w:sz w:val="19"/>
              </w:rPr>
              <w:t>22 months</w:t>
            </w:r>
          </w:p>
        </w:tc>
      </w:tr>
      <w:tr>
        <w:tc>
          <w:tcPr>
            <w:tcW w:type="dxa" w:w="2304"/>
            <w:shd w:val="clear" w:color="auto" w:fill="F3F4F6"/>
          </w:tcPr>
          <w:p>
            <w:r>
              <w:rPr>
                <w:rFonts w:ascii="Calibri" w:hAnsi="Calibri"/>
                <w:b w:val="0"/>
                <w:i w:val="0"/>
                <w:sz w:val="19"/>
              </w:rPr>
              <w:t>2-Year ROI</w:t>
            </w:r>
          </w:p>
        </w:tc>
        <w:tc>
          <w:tcPr>
            <w:tcW w:type="dxa" w:w="1872"/>
            <w:shd w:val="clear" w:color="auto" w:fill="F3F4F6"/>
          </w:tcPr>
          <w:p>
            <w:r>
              <w:rPr>
                <w:rFonts w:ascii="Calibri" w:hAnsi="Calibri"/>
                <w:b w:val="0"/>
                <w:i w:val="0"/>
                <w:sz w:val="19"/>
              </w:rPr>
              <w:t>2.9×</w:t>
            </w:r>
          </w:p>
        </w:tc>
        <w:tc>
          <w:tcPr>
            <w:tcW w:type="dxa" w:w="2304"/>
            <w:shd w:val="clear" w:color="auto" w:fill="F3F4F6"/>
          </w:tcPr>
          <w:p>
            <w:r>
              <w:rPr>
                <w:rFonts w:ascii="Calibri" w:hAnsi="Calibri"/>
                <w:b w:val="0"/>
                <w:i w:val="0"/>
                <w:sz w:val="19"/>
              </w:rPr>
              <w:t>5.8×</w:t>
            </w:r>
          </w:p>
        </w:tc>
        <w:tc>
          <w:tcPr>
            <w:tcW w:type="dxa" w:w="1872"/>
            <w:shd w:val="clear" w:color="auto" w:fill="F3F4F6"/>
          </w:tcPr>
          <w:p>
            <w:r>
              <w:rPr>
                <w:rFonts w:ascii="Calibri" w:hAnsi="Calibri"/>
                <w:b w:val="0"/>
                <w:i w:val="0"/>
                <w:sz w:val="19"/>
              </w:rPr>
              <w:t>3.8×</w:t>
            </w:r>
          </w:p>
        </w:tc>
      </w:tr>
      <w:tr>
        <w:tc>
          <w:tcPr>
            <w:tcW w:type="dxa" w:w="2304"/>
            <w:shd w:val="clear" w:color="auto" w:fill="FFFFFF"/>
          </w:tcPr>
          <w:p>
            <w:r>
              <w:rPr>
                <w:rFonts w:ascii="Calibri" w:hAnsi="Calibri"/>
                <w:b w:val="0"/>
                <w:i w:val="0"/>
                <w:sz w:val="19"/>
              </w:rPr>
              <w:t>Risk Level</w:t>
            </w:r>
          </w:p>
        </w:tc>
        <w:tc>
          <w:tcPr>
            <w:tcW w:type="dxa" w:w="1872"/>
            <w:shd w:val="clear" w:color="auto" w:fill="FFFFFF"/>
          </w:tcPr>
          <w:p>
            <w:r>
              <w:rPr>
                <w:rFonts w:ascii="Calibri" w:hAnsi="Calibri"/>
                <w:b w:val="0"/>
                <w:i w:val="0"/>
                <w:sz w:val="19"/>
              </w:rPr>
              <w:t>Low</w:t>
            </w:r>
          </w:p>
        </w:tc>
        <w:tc>
          <w:tcPr>
            <w:tcW w:type="dxa" w:w="2304"/>
            <w:shd w:val="clear" w:color="auto" w:fill="FFFFFF"/>
          </w:tcPr>
          <w:p>
            <w:r>
              <w:rPr>
                <w:rFonts w:ascii="Calibri" w:hAnsi="Calibri"/>
                <w:b w:val="0"/>
                <w:i w:val="0"/>
                <w:sz w:val="19"/>
              </w:rPr>
              <w:t>Medium</w:t>
            </w:r>
          </w:p>
        </w:tc>
        <w:tc>
          <w:tcPr>
            <w:tcW w:type="dxa" w:w="1872"/>
            <w:shd w:val="clear" w:color="auto" w:fill="FFFFFF"/>
          </w:tcPr>
          <w:p>
            <w:r>
              <w:rPr>
                <w:rFonts w:ascii="Calibri" w:hAnsi="Calibri"/>
                <w:b w:val="0"/>
                <w:i w:val="0"/>
                <w:sz w:val="19"/>
              </w:rPr>
              <w:t>High</w:t>
            </w:r>
          </w:p>
        </w:tc>
      </w:tr>
      <w:tr>
        <w:tc>
          <w:tcPr>
            <w:tcW w:type="dxa" w:w="2304"/>
            <w:shd w:val="clear" w:color="auto" w:fill="F3F4F6"/>
          </w:tcPr>
          <w:p>
            <w:r>
              <w:rPr>
                <w:rFonts w:ascii="Calibri" w:hAnsi="Calibri"/>
                <w:b w:val="0"/>
                <w:i w:val="0"/>
                <w:sz w:val="19"/>
              </w:rPr>
              <w:t>Governance Fit</w:t>
            </w:r>
          </w:p>
        </w:tc>
        <w:tc>
          <w:tcPr>
            <w:tcW w:type="dxa" w:w="1872"/>
            <w:shd w:val="clear" w:color="auto" w:fill="F3F4F6"/>
          </w:tcPr>
          <w:p>
            <w:r>
              <w:rPr>
                <w:rFonts w:ascii="Calibri" w:hAnsi="Calibri"/>
                <w:b w:val="0"/>
                <w:i w:val="0"/>
                <w:sz w:val="19"/>
              </w:rPr>
              <w:t>Strong (conservative posture)</w:t>
            </w:r>
          </w:p>
        </w:tc>
        <w:tc>
          <w:tcPr>
            <w:tcW w:type="dxa" w:w="2304"/>
            <w:shd w:val="clear" w:color="auto" w:fill="F3F4F6"/>
          </w:tcPr>
          <w:p>
            <w:r>
              <w:rPr>
                <w:rFonts w:ascii="Calibri" w:hAnsi="Calibri"/>
                <w:b w:val="0"/>
                <w:i w:val="0"/>
                <w:sz w:val="19"/>
              </w:rPr>
              <w:t>Strong (audit-grade gates)</w:t>
            </w:r>
          </w:p>
        </w:tc>
        <w:tc>
          <w:tcPr>
            <w:tcW w:type="dxa" w:w="1872"/>
            <w:shd w:val="clear" w:color="auto" w:fill="F3F4F6"/>
          </w:tcPr>
          <w:p>
            <w:r>
              <w:rPr>
                <w:rFonts w:ascii="Calibri" w:hAnsi="Calibri"/>
                <w:b w:val="0"/>
                <w:i w:val="0"/>
                <w:sz w:val="19"/>
              </w:rPr>
              <w:t>Requires regulatory approval</w:t>
            </w:r>
          </w:p>
        </w:tc>
      </w:tr>
    </w:tbl>
    <w:p/>
    <w:p>
      <w:pPr>
        <w:spacing w:before="240" w:after="80"/>
      </w:pPr>
      <w:r>
        <w:rPr>
          <w:rFonts w:ascii="Calibri" w:hAnsi="Calibri"/>
          <w:b/>
          <w:i w:val="0"/>
          <w:color w:val="2563EB"/>
          <w:sz w:val="26"/>
        </w:rPr>
        <w:t>Why Option B Was Selected</w:t>
      </w:r>
    </w:p>
    <w:p>
      <w:pPr>
        <w:spacing w:after="80"/>
      </w:pPr>
      <w:r>
        <w:rPr>
          <w:rFonts w:ascii="Calibri" w:hAnsi="Calibri"/>
          <w:b w:val="0"/>
          <w:i w:val="0"/>
          <w:sz w:val="21"/>
        </w:rPr>
        <w:t>The CRO's primary concern was regulatory: any autonomous AI action in the PDLC needed to be auditable. Option B's governance model — AI agents execute, humans approve at defined gates — was designed to meet this requirement. The audit trail generated at each gate provided the evidence chain required for internal audit and regulatory examination.</w:t>
      </w:r>
    </w:p>
    <w:p>
      <w:pPr>
        <w:spacing w:after="80"/>
      </w:pPr>
      <w:r>
        <w:rPr>
          <w:rFonts w:ascii="Calibri" w:hAnsi="Calibri"/>
          <w:b w:val="0"/>
          <w:i w:val="0"/>
          <w:sz w:val="21"/>
        </w:rPr>
        <w:t>The CFO's primary concern was payback: at 14 months, Option B returned investment faster than Option A (24 months) while delivering materially higher annual benefit. The 5.8× 2-year ROI was the strongest in the option set for US Bank's specific bottleneck cost profile.</w:t>
      </w:r>
    </w:p>
    <w:p>
      <w:pPr>
        <w:spacing w:after="80"/>
      </w:pPr>
      <w:r>
        <w:rPr>
          <w:rFonts w:ascii="Calibri" w:hAnsi="Calibri"/>
          <w:b w:val="0"/>
          <w:i w:val="0"/>
          <w:sz w:val="21"/>
        </w:rPr>
        <w:t>The CTO's primary concern was adoption: Option B's human-on-the-loop model was close enough to current practice that engineering teams could adopt it without a culture shock. Option C, in the CTO's view, was 'where we want to be in 5 years, not 18 months.'</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The business case was approved by the US Bank board in a single session. The CFO later noted: 'We have never gone into a transformation approval with this level of financial evidence. The diagnosis made it easy.'</w:t>
            </w:r>
          </w:p>
        </w:tc>
      </w:tr>
    </w:tbl>
    <w:p/>
    <w:p>
      <w:pPr>
        <w:spacing w:before="60" w:after="60"/>
        <w:pBdr>
          <w:bottom w:val="single" w:sz="6" w:space="1" w:color="2563EB"/>
        </w:pBdr>
      </w:pPr>
    </w:p>
    <w:p>
      <w:pPr>
        <w:spacing w:before="400" w:after="120"/>
      </w:pPr>
      <w:r>
        <w:rPr>
          <w:rFonts w:ascii="Calibri" w:hAnsi="Calibri"/>
          <w:b/>
          <w:i w:val="0"/>
          <w:color w:val="0F2D5E"/>
          <w:sz w:val="32"/>
        </w:rPr>
        <w:t>Phase 3: DELIVER</w:t>
      </w:r>
    </w:p>
    <w:p>
      <w:pPr>
        <w:spacing w:before="240" w:after="80"/>
      </w:pPr>
      <w:r>
        <w:rPr>
          <w:rFonts w:ascii="Calibri" w:hAnsi="Calibri"/>
          <w:b/>
          <w:i w:val="0"/>
          <w:color w:val="2563EB"/>
          <w:sz w:val="26"/>
        </w:rPr>
        <w:t>Implementation Timeline</w:t>
      </w:r>
    </w:p>
    <w:tbl>
      <w:tblPr>
        <w:tblStyle w:val="TableGrid"/>
        <w:tblW w:type="auto" w:w="0"/>
        <w:tblLook w:firstColumn="1" w:firstRow="1" w:lastColumn="0" w:lastRow="0" w:noHBand="0" w:noVBand="1" w:val="04A0"/>
      </w:tblPr>
      <w:tblGrid>
        <w:gridCol w:w="2340"/>
        <w:gridCol w:w="2340"/>
        <w:gridCol w:w="2340"/>
        <w:gridCol w:w="2340"/>
      </w:tblGrid>
      <w:tr>
        <w:tc>
          <w:tcPr>
            <w:tcW w:type="dxa" w:w="1728"/>
            <w:shd w:val="clear" w:color="auto" w:fill="0F2D5E"/>
          </w:tcPr>
          <w:p>
            <w:r>
              <w:rPr>
                <w:rFonts w:ascii="Calibri" w:hAnsi="Calibri"/>
                <w:b/>
                <w:i w:val="0"/>
                <w:color w:val="FFFFFF"/>
                <w:sz w:val="19"/>
              </w:rPr>
              <w:t>Phase</w:t>
            </w:r>
          </w:p>
        </w:tc>
        <w:tc>
          <w:tcPr>
            <w:tcW w:type="dxa" w:w="1440"/>
            <w:shd w:val="clear" w:color="auto" w:fill="0F2D5E"/>
          </w:tcPr>
          <w:p>
            <w:r>
              <w:rPr>
                <w:rFonts w:ascii="Calibri" w:hAnsi="Calibri"/>
                <w:b/>
                <w:i w:val="0"/>
                <w:color w:val="FFFFFF"/>
                <w:sz w:val="19"/>
              </w:rPr>
              <w:t>Timeline</w:t>
            </w:r>
          </w:p>
        </w:tc>
        <w:tc>
          <w:tcPr>
            <w:tcW w:type="dxa" w:w="4032"/>
            <w:shd w:val="clear" w:color="auto" w:fill="0F2D5E"/>
          </w:tcPr>
          <w:p>
            <w:r>
              <w:rPr>
                <w:rFonts w:ascii="Calibri" w:hAnsi="Calibri"/>
                <w:b/>
                <w:i w:val="0"/>
                <w:color w:val="FFFFFF"/>
                <w:sz w:val="19"/>
              </w:rPr>
              <w:t>Key Actions</w:t>
            </w:r>
          </w:p>
        </w:tc>
        <w:tc>
          <w:tcPr>
            <w:tcW w:type="dxa" w:w="2592"/>
            <w:shd w:val="clear" w:color="auto" w:fill="0F2D5E"/>
          </w:tcPr>
          <w:p>
            <w:r>
              <w:rPr>
                <w:rFonts w:ascii="Calibri" w:hAnsi="Calibri"/>
                <w:b/>
                <w:i w:val="0"/>
                <w:color w:val="FFFFFF"/>
                <w:sz w:val="19"/>
              </w:rPr>
              <w:t>Benefit Realised</w:t>
            </w:r>
          </w:p>
        </w:tc>
      </w:tr>
      <w:tr>
        <w:tc>
          <w:tcPr>
            <w:tcW w:type="dxa" w:w="1728"/>
            <w:shd w:val="clear" w:color="auto" w:fill="F3F4F6"/>
          </w:tcPr>
          <w:p>
            <w:r>
              <w:rPr>
                <w:rFonts w:ascii="Calibri" w:hAnsi="Calibri"/>
                <w:b w:val="0"/>
                <w:i w:val="0"/>
                <w:sz w:val="19"/>
              </w:rPr>
              <w:t>Quick Wins</w:t>
            </w:r>
          </w:p>
        </w:tc>
        <w:tc>
          <w:tcPr>
            <w:tcW w:type="dxa" w:w="1440"/>
            <w:shd w:val="clear" w:color="auto" w:fill="F3F4F6"/>
          </w:tcPr>
          <w:p>
            <w:r>
              <w:rPr>
                <w:rFonts w:ascii="Calibri" w:hAnsi="Calibri"/>
                <w:b w:val="0"/>
                <w:i w:val="0"/>
                <w:sz w:val="19"/>
              </w:rPr>
              <w:t>Months 1–3</w:t>
            </w:r>
          </w:p>
        </w:tc>
        <w:tc>
          <w:tcPr>
            <w:tcW w:type="dxa" w:w="4032"/>
            <w:shd w:val="clear" w:color="auto" w:fill="F3F4F6"/>
          </w:tcPr>
          <w:p>
            <w:r>
              <w:rPr>
                <w:rFonts w:ascii="Calibri" w:hAnsi="Calibri"/>
                <w:b w:val="0"/>
                <w:i w:val="0"/>
                <w:sz w:val="19"/>
              </w:rPr>
              <w:t>Code review automation; CAB cadence moved to weekly; security pre-scan automation</w:t>
            </w:r>
          </w:p>
        </w:tc>
        <w:tc>
          <w:tcPr>
            <w:tcW w:type="dxa" w:w="2592"/>
            <w:shd w:val="clear" w:color="auto" w:fill="F3F4F6"/>
          </w:tcPr>
          <w:p>
            <w:r>
              <w:rPr>
                <w:rFonts w:ascii="Calibri" w:hAnsi="Calibri"/>
                <w:b w:val="0"/>
                <w:i w:val="0"/>
                <w:sz w:val="19"/>
              </w:rPr>
              <w:t>LT: 42→28 days; FE: 17.8%→29%</w:t>
            </w:r>
          </w:p>
        </w:tc>
      </w:tr>
      <w:tr>
        <w:tc>
          <w:tcPr>
            <w:tcW w:type="dxa" w:w="1728"/>
            <w:shd w:val="clear" w:color="auto" w:fill="FFFFFF"/>
          </w:tcPr>
          <w:p>
            <w:r>
              <w:rPr>
                <w:rFonts w:ascii="Calibri" w:hAnsi="Calibri"/>
                <w:b w:val="0"/>
                <w:i w:val="0"/>
                <w:sz w:val="19"/>
              </w:rPr>
              <w:t>Core Deployment</w:t>
            </w:r>
          </w:p>
        </w:tc>
        <w:tc>
          <w:tcPr>
            <w:tcW w:type="dxa" w:w="1440"/>
            <w:shd w:val="clear" w:color="auto" w:fill="FFFFFF"/>
          </w:tcPr>
          <w:p>
            <w:r>
              <w:rPr>
                <w:rFonts w:ascii="Calibri" w:hAnsi="Calibri"/>
                <w:b w:val="0"/>
                <w:i w:val="0"/>
                <w:sz w:val="19"/>
              </w:rPr>
              <w:t>Months 4–9</w:t>
            </w:r>
          </w:p>
        </w:tc>
        <w:tc>
          <w:tcPr>
            <w:tcW w:type="dxa" w:w="4032"/>
            <w:shd w:val="clear" w:color="auto" w:fill="FFFFFF"/>
          </w:tcPr>
          <w:p>
            <w:r>
              <w:rPr>
                <w:rFonts w:ascii="Calibri" w:hAnsi="Calibri"/>
                <w:b w:val="0"/>
                <w:i w:val="0"/>
                <w:sz w:val="19"/>
              </w:rPr>
              <w:t>AI agents deployed across 5 PDLC steps; gate governance implemented; team training</w:t>
            </w:r>
          </w:p>
        </w:tc>
        <w:tc>
          <w:tcPr>
            <w:tcW w:type="dxa" w:w="2592"/>
            <w:shd w:val="clear" w:color="auto" w:fill="FFFFFF"/>
          </w:tcPr>
          <w:p>
            <w:r>
              <w:rPr>
                <w:rFonts w:ascii="Calibri" w:hAnsi="Calibri"/>
                <w:b w:val="0"/>
                <w:i w:val="0"/>
                <w:sz w:val="19"/>
              </w:rPr>
              <w:t>LT: 28→15 days; FE: 29%→47%</w:t>
            </w:r>
          </w:p>
        </w:tc>
      </w:tr>
      <w:tr>
        <w:tc>
          <w:tcPr>
            <w:tcW w:type="dxa" w:w="1728"/>
            <w:shd w:val="clear" w:color="auto" w:fill="F3F4F6"/>
          </w:tcPr>
          <w:p>
            <w:r>
              <w:rPr>
                <w:rFonts w:ascii="Calibri" w:hAnsi="Calibri"/>
                <w:b w:val="0"/>
                <w:i w:val="0"/>
                <w:sz w:val="19"/>
              </w:rPr>
              <w:t>Optimisation</w:t>
            </w:r>
          </w:p>
        </w:tc>
        <w:tc>
          <w:tcPr>
            <w:tcW w:type="dxa" w:w="1440"/>
            <w:shd w:val="clear" w:color="auto" w:fill="F3F4F6"/>
          </w:tcPr>
          <w:p>
            <w:r>
              <w:rPr>
                <w:rFonts w:ascii="Calibri" w:hAnsi="Calibri"/>
                <w:b w:val="0"/>
                <w:i w:val="0"/>
                <w:sz w:val="19"/>
              </w:rPr>
              <w:t>Months 10–18</w:t>
            </w:r>
          </w:p>
        </w:tc>
        <w:tc>
          <w:tcPr>
            <w:tcW w:type="dxa" w:w="4032"/>
            <w:shd w:val="clear" w:color="auto" w:fill="F3F4F6"/>
          </w:tcPr>
          <w:p>
            <w:r>
              <w:rPr>
                <w:rFonts w:ascii="Calibri" w:hAnsi="Calibri"/>
                <w:b w:val="0"/>
                <w:i w:val="0"/>
                <w:sz w:val="19"/>
              </w:rPr>
              <w:t>Agent tuning; scale to 3 additional teams; benefits reporting to board quarterly</w:t>
            </w:r>
          </w:p>
        </w:tc>
        <w:tc>
          <w:tcPr>
            <w:tcW w:type="dxa" w:w="2592"/>
            <w:shd w:val="clear" w:color="auto" w:fill="F3F4F6"/>
          </w:tcPr>
          <w:p>
            <w:r>
              <w:rPr>
                <w:rFonts w:ascii="Calibri" w:hAnsi="Calibri"/>
                <w:b w:val="0"/>
                <w:i w:val="0"/>
                <w:sz w:val="19"/>
              </w:rPr>
              <w:t>LT: 15→8 days; FE: 47%→61%</w:t>
            </w:r>
          </w:p>
        </w:tc>
      </w:tr>
    </w:tbl>
    <w:p/>
    <w:p>
      <w:pPr>
        <w:spacing w:before="240" w:after="80"/>
      </w:pPr>
      <w:r>
        <w:rPr>
          <w:rFonts w:ascii="Calibri" w:hAnsi="Calibri"/>
          <w:b/>
          <w:i w:val="0"/>
          <w:color w:val="2563EB"/>
          <w:sz w:val="26"/>
        </w:rPr>
        <w:t>Benefits Realised at 18 Months</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color="auto" w:fill="0F2D5E"/>
          </w:tcPr>
          <w:p>
            <w:r>
              <w:rPr>
                <w:rFonts w:ascii="Calibri" w:hAnsi="Calibri"/>
                <w:b/>
                <w:i w:val="0"/>
                <w:color w:val="FFFFFF"/>
                <w:sz w:val="19"/>
              </w:rPr>
              <w:t>Metric</w:t>
            </w:r>
          </w:p>
        </w:tc>
        <w:tc>
          <w:tcPr>
            <w:tcW w:type="dxa" w:w="1872"/>
            <w:shd w:val="clear" w:color="auto" w:fill="0F2D5E"/>
          </w:tcPr>
          <w:p>
            <w:r>
              <w:rPr>
                <w:rFonts w:ascii="Calibri" w:hAnsi="Calibri"/>
                <w:b/>
                <w:i w:val="0"/>
                <w:color w:val="FFFFFF"/>
                <w:sz w:val="19"/>
              </w:rPr>
              <w:t>Before</w:t>
            </w:r>
          </w:p>
        </w:tc>
        <w:tc>
          <w:tcPr>
            <w:tcW w:type="dxa" w:w="2160"/>
            <w:shd w:val="clear" w:color="auto" w:fill="0F2D5E"/>
          </w:tcPr>
          <w:p>
            <w:r>
              <w:rPr>
                <w:rFonts w:ascii="Calibri" w:hAnsi="Calibri"/>
                <w:b/>
                <w:i w:val="0"/>
                <w:color w:val="FFFFFF"/>
                <w:sz w:val="19"/>
              </w:rPr>
              <w:t>After 18 Months</w:t>
            </w:r>
          </w:p>
        </w:tc>
        <w:tc>
          <w:tcPr>
            <w:tcW w:type="dxa" w:w="2304"/>
            <w:shd w:val="clear" w:color="auto" w:fill="0F2D5E"/>
          </w:tcPr>
          <w:p>
            <w:r>
              <w:rPr>
                <w:rFonts w:ascii="Calibri" w:hAnsi="Calibri"/>
                <w:b/>
                <w:i w:val="0"/>
                <w:color w:val="FFFFFF"/>
                <w:sz w:val="19"/>
              </w:rPr>
              <w:t>Improvement</w:t>
            </w:r>
          </w:p>
        </w:tc>
      </w:tr>
      <w:tr>
        <w:tc>
          <w:tcPr>
            <w:tcW w:type="dxa" w:w="2592"/>
            <w:shd w:val="clear" w:color="auto" w:fill="F3F4F6"/>
          </w:tcPr>
          <w:p>
            <w:r>
              <w:rPr>
                <w:rFonts w:ascii="Calibri" w:hAnsi="Calibri"/>
                <w:b w:val="0"/>
                <w:i w:val="0"/>
                <w:sz w:val="19"/>
              </w:rPr>
              <w:t>Lead Time</w:t>
            </w:r>
          </w:p>
        </w:tc>
        <w:tc>
          <w:tcPr>
            <w:tcW w:type="dxa" w:w="1872"/>
            <w:shd w:val="clear" w:color="auto" w:fill="F3F4F6"/>
          </w:tcPr>
          <w:p>
            <w:r>
              <w:rPr>
                <w:rFonts w:ascii="Calibri" w:hAnsi="Calibri"/>
                <w:b w:val="0"/>
                <w:i w:val="0"/>
                <w:sz w:val="19"/>
              </w:rPr>
              <w:t>42 business days</w:t>
            </w:r>
          </w:p>
        </w:tc>
        <w:tc>
          <w:tcPr>
            <w:tcW w:type="dxa" w:w="2160"/>
            <w:shd w:val="clear" w:color="auto" w:fill="F3F4F6"/>
          </w:tcPr>
          <w:p>
            <w:r>
              <w:rPr>
                <w:rFonts w:ascii="Calibri" w:hAnsi="Calibri"/>
                <w:b w:val="0"/>
                <w:i w:val="0"/>
                <w:sz w:val="19"/>
              </w:rPr>
              <w:t>8 business days</w:t>
            </w:r>
          </w:p>
        </w:tc>
        <w:tc>
          <w:tcPr>
            <w:tcW w:type="dxa" w:w="2304"/>
            <w:shd w:val="clear" w:color="auto" w:fill="F3F4F6"/>
          </w:tcPr>
          <w:p>
            <w:r>
              <w:rPr>
                <w:rFonts w:ascii="Calibri" w:hAnsi="Calibri"/>
                <w:b w:val="0"/>
                <w:i w:val="0"/>
                <w:sz w:val="19"/>
              </w:rPr>
              <w:t>81% reduction</w:t>
            </w:r>
          </w:p>
        </w:tc>
      </w:tr>
      <w:tr>
        <w:tc>
          <w:tcPr>
            <w:tcW w:type="dxa" w:w="2592"/>
            <w:shd w:val="clear" w:color="auto" w:fill="FFFFFF"/>
          </w:tcPr>
          <w:p>
            <w:r>
              <w:rPr>
                <w:rFonts w:ascii="Calibri" w:hAnsi="Calibri"/>
                <w:b w:val="0"/>
                <w:i w:val="0"/>
                <w:sz w:val="19"/>
              </w:rPr>
              <w:t>Flow Efficiency</w:t>
            </w:r>
          </w:p>
        </w:tc>
        <w:tc>
          <w:tcPr>
            <w:tcW w:type="dxa" w:w="1872"/>
            <w:shd w:val="clear" w:color="auto" w:fill="FFFFFF"/>
          </w:tcPr>
          <w:p>
            <w:r>
              <w:rPr>
                <w:rFonts w:ascii="Calibri" w:hAnsi="Calibri"/>
                <w:b w:val="0"/>
                <w:i w:val="0"/>
                <w:sz w:val="19"/>
              </w:rPr>
              <w:t>17.8%</w:t>
            </w:r>
          </w:p>
        </w:tc>
        <w:tc>
          <w:tcPr>
            <w:tcW w:type="dxa" w:w="2160"/>
            <w:shd w:val="clear" w:color="auto" w:fill="FFFFFF"/>
          </w:tcPr>
          <w:p>
            <w:r>
              <w:rPr>
                <w:rFonts w:ascii="Calibri" w:hAnsi="Calibri"/>
                <w:b w:val="0"/>
                <w:i w:val="0"/>
                <w:sz w:val="19"/>
              </w:rPr>
              <w:t>61.0%</w:t>
            </w:r>
          </w:p>
        </w:tc>
        <w:tc>
          <w:tcPr>
            <w:tcW w:type="dxa" w:w="2304"/>
            <w:shd w:val="clear" w:color="auto" w:fill="FFFFFF"/>
          </w:tcPr>
          <w:p>
            <w:r>
              <w:rPr>
                <w:rFonts w:ascii="Calibri" w:hAnsi="Calibri"/>
                <w:b w:val="0"/>
                <w:i w:val="0"/>
                <w:sz w:val="19"/>
              </w:rPr>
              <w:t>+43.2 percentage points</w:t>
            </w:r>
          </w:p>
        </w:tc>
      </w:tr>
      <w:tr>
        <w:tc>
          <w:tcPr>
            <w:tcW w:type="dxa" w:w="2592"/>
            <w:shd w:val="clear" w:color="auto" w:fill="F3F4F6"/>
          </w:tcPr>
          <w:p>
            <w:r>
              <w:rPr>
                <w:rFonts w:ascii="Calibri" w:hAnsi="Calibri"/>
                <w:b w:val="0"/>
                <w:i w:val="0"/>
                <w:sz w:val="19"/>
              </w:rPr>
              <w:t>Defect Escape Rate</w:t>
            </w:r>
          </w:p>
        </w:tc>
        <w:tc>
          <w:tcPr>
            <w:tcW w:type="dxa" w:w="1872"/>
            <w:shd w:val="clear" w:color="auto" w:fill="F3F4F6"/>
          </w:tcPr>
          <w:p>
            <w:r>
              <w:rPr>
                <w:rFonts w:ascii="Calibri" w:hAnsi="Calibri"/>
                <w:b w:val="0"/>
                <w:i w:val="0"/>
                <w:sz w:val="19"/>
              </w:rPr>
              <w:t>19%</w:t>
            </w:r>
          </w:p>
        </w:tc>
        <w:tc>
          <w:tcPr>
            <w:tcW w:type="dxa" w:w="2160"/>
            <w:shd w:val="clear" w:color="auto" w:fill="F3F4F6"/>
          </w:tcPr>
          <w:p>
            <w:r>
              <w:rPr>
                <w:rFonts w:ascii="Calibri" w:hAnsi="Calibri"/>
                <w:b w:val="0"/>
                <w:i w:val="0"/>
                <w:sz w:val="19"/>
              </w:rPr>
              <w:t>7%</w:t>
            </w:r>
          </w:p>
        </w:tc>
        <w:tc>
          <w:tcPr>
            <w:tcW w:type="dxa" w:w="2304"/>
            <w:shd w:val="clear" w:color="auto" w:fill="F3F4F6"/>
          </w:tcPr>
          <w:p>
            <w:r>
              <w:rPr>
                <w:rFonts w:ascii="Calibri" w:hAnsi="Calibri"/>
                <w:b w:val="0"/>
                <w:i w:val="0"/>
                <w:sz w:val="19"/>
              </w:rPr>
              <w:t>−63% relative</w:t>
            </w:r>
          </w:p>
        </w:tc>
      </w:tr>
      <w:tr>
        <w:tc>
          <w:tcPr>
            <w:tcW w:type="dxa" w:w="2592"/>
            <w:shd w:val="clear" w:color="auto" w:fill="FFFFFF"/>
          </w:tcPr>
          <w:p>
            <w:r>
              <w:rPr>
                <w:rFonts w:ascii="Calibri" w:hAnsi="Calibri"/>
                <w:b w:val="0"/>
                <w:i w:val="0"/>
                <w:sz w:val="19"/>
              </w:rPr>
              <w:t>Engineering Throughput</w:t>
            </w:r>
          </w:p>
        </w:tc>
        <w:tc>
          <w:tcPr>
            <w:tcW w:type="dxa" w:w="1872"/>
            <w:shd w:val="clear" w:color="auto" w:fill="FFFFFF"/>
          </w:tcPr>
          <w:p>
            <w:r>
              <w:rPr>
                <w:rFonts w:ascii="Calibri" w:hAnsi="Calibri"/>
                <w:b w:val="0"/>
                <w:i w:val="0"/>
                <w:sz w:val="19"/>
              </w:rPr>
              <w:t>8 features/team/quarter</w:t>
            </w:r>
          </w:p>
        </w:tc>
        <w:tc>
          <w:tcPr>
            <w:tcW w:type="dxa" w:w="2160"/>
            <w:shd w:val="clear" w:color="auto" w:fill="FFFFFF"/>
          </w:tcPr>
          <w:p>
            <w:r>
              <w:rPr>
                <w:rFonts w:ascii="Calibri" w:hAnsi="Calibri"/>
                <w:b w:val="0"/>
                <w:i w:val="0"/>
                <w:sz w:val="19"/>
              </w:rPr>
              <w:t>21 features/team/quarter</w:t>
            </w:r>
          </w:p>
        </w:tc>
        <w:tc>
          <w:tcPr>
            <w:tcW w:type="dxa" w:w="2304"/>
            <w:shd w:val="clear" w:color="auto" w:fill="FFFFFF"/>
          </w:tcPr>
          <w:p>
            <w:r>
              <w:rPr>
                <w:rFonts w:ascii="Calibri" w:hAnsi="Calibri"/>
                <w:b w:val="0"/>
                <w:i w:val="0"/>
                <w:sz w:val="19"/>
              </w:rPr>
              <w:t>+163%</w:t>
            </w:r>
          </w:p>
        </w:tc>
      </w:tr>
      <w:tr>
        <w:tc>
          <w:tcPr>
            <w:tcW w:type="dxa" w:w="2592"/>
            <w:shd w:val="clear" w:color="auto" w:fill="F3F4F6"/>
          </w:tcPr>
          <w:p>
            <w:r>
              <w:rPr>
                <w:rFonts w:ascii="Calibri" w:hAnsi="Calibri"/>
                <w:b w:val="0"/>
                <w:i w:val="0"/>
                <w:sz w:val="19"/>
              </w:rPr>
              <w:t>DORA Level</w:t>
            </w:r>
          </w:p>
        </w:tc>
        <w:tc>
          <w:tcPr>
            <w:tcW w:type="dxa" w:w="1872"/>
            <w:shd w:val="clear" w:color="auto" w:fill="F3F4F6"/>
          </w:tcPr>
          <w:p>
            <w:r>
              <w:rPr>
                <w:rFonts w:ascii="Calibri" w:hAnsi="Calibri"/>
                <w:b w:val="0"/>
                <w:i w:val="0"/>
                <w:sz w:val="19"/>
              </w:rPr>
              <w:t>Medium</w:t>
            </w:r>
          </w:p>
        </w:tc>
        <w:tc>
          <w:tcPr>
            <w:tcW w:type="dxa" w:w="2160"/>
            <w:shd w:val="clear" w:color="auto" w:fill="F3F4F6"/>
          </w:tcPr>
          <w:p>
            <w:r>
              <w:rPr>
                <w:rFonts w:ascii="Calibri" w:hAnsi="Calibri"/>
                <w:b w:val="0"/>
                <w:i w:val="0"/>
                <w:sz w:val="19"/>
              </w:rPr>
              <w:t>Elite</w:t>
            </w:r>
          </w:p>
        </w:tc>
        <w:tc>
          <w:tcPr>
            <w:tcW w:type="dxa" w:w="2304"/>
            <w:shd w:val="clear" w:color="auto" w:fill="F3F4F6"/>
          </w:tcPr>
          <w:p>
            <w:r>
              <w:rPr>
                <w:rFonts w:ascii="Calibri" w:hAnsi="Calibri"/>
                <w:b w:val="0"/>
                <w:i w:val="0"/>
                <w:sz w:val="19"/>
              </w:rPr>
              <w:t>2-level improvement</w:t>
            </w:r>
          </w:p>
        </w:tc>
      </w:tr>
      <w:tr>
        <w:tc>
          <w:tcPr>
            <w:tcW w:type="dxa" w:w="2592"/>
            <w:shd w:val="clear" w:color="auto" w:fill="FFFFFF"/>
          </w:tcPr>
          <w:p>
            <w:r>
              <w:rPr>
                <w:rFonts w:ascii="Calibri" w:hAnsi="Calibri"/>
                <w:b w:val="0"/>
                <w:i w:val="0"/>
                <w:sz w:val="19"/>
              </w:rPr>
              <w:t>Annual Benefit (Measured)</w:t>
            </w:r>
          </w:p>
        </w:tc>
        <w:tc>
          <w:tcPr>
            <w:tcW w:type="dxa" w:w="1872"/>
            <w:shd w:val="clear" w:color="auto" w:fill="FFFFFF"/>
          </w:tcPr>
          <w:p>
            <w:r>
              <w:rPr>
                <w:rFonts w:ascii="Calibri" w:hAnsi="Calibri"/>
                <w:b w:val="0"/>
                <w:i w:val="0"/>
                <w:sz w:val="19"/>
              </w:rPr>
              <w:t>—</w:t>
            </w:r>
          </w:p>
        </w:tc>
        <w:tc>
          <w:tcPr>
            <w:tcW w:type="dxa" w:w="2160"/>
            <w:shd w:val="clear" w:color="auto" w:fill="FFFFFF"/>
          </w:tcPr>
          <w:p>
            <w:r>
              <w:rPr>
                <w:rFonts w:ascii="Calibri" w:hAnsi="Calibri"/>
                <w:b w:val="0"/>
                <w:i w:val="0"/>
                <w:sz w:val="19"/>
              </w:rPr>
              <w:t>$8.4M/year</w:t>
            </w:r>
          </w:p>
        </w:tc>
        <w:tc>
          <w:tcPr>
            <w:tcW w:type="dxa" w:w="2304"/>
            <w:shd w:val="clear" w:color="auto" w:fill="FFFFFF"/>
          </w:tcPr>
          <w:p>
            <w:r>
              <w:rPr>
                <w:rFonts w:ascii="Calibri" w:hAnsi="Calibri"/>
                <w:b w:val="0"/>
                <w:i w:val="0"/>
                <w:sz w:val="19"/>
              </w:rPr>
              <w:t>vs. $8.4M estimate</w:t>
            </w:r>
          </w:p>
        </w:tc>
      </w:tr>
      <w:tr>
        <w:tc>
          <w:tcPr>
            <w:tcW w:type="dxa" w:w="2592"/>
            <w:shd w:val="clear" w:color="auto" w:fill="F3F4F6"/>
          </w:tcPr>
          <w:p>
            <w:r>
              <w:rPr>
                <w:rFonts w:ascii="Calibri" w:hAnsi="Calibri"/>
                <w:b w:val="0"/>
                <w:i w:val="0"/>
                <w:sz w:val="19"/>
              </w:rPr>
              <w:t>ROI</w:t>
            </w:r>
          </w:p>
        </w:tc>
        <w:tc>
          <w:tcPr>
            <w:tcW w:type="dxa" w:w="1872"/>
            <w:shd w:val="clear" w:color="auto" w:fill="F3F4F6"/>
          </w:tcPr>
          <w:p>
            <w:r>
              <w:rPr>
                <w:rFonts w:ascii="Calibri" w:hAnsi="Calibri"/>
                <w:b w:val="0"/>
                <w:i w:val="0"/>
                <w:sz w:val="19"/>
              </w:rPr>
              <w:t>—</w:t>
            </w:r>
          </w:p>
        </w:tc>
        <w:tc>
          <w:tcPr>
            <w:tcW w:type="dxa" w:w="2160"/>
            <w:shd w:val="clear" w:color="auto" w:fill="F3F4F6"/>
          </w:tcPr>
          <w:p>
            <w:r>
              <w:rPr>
                <w:rFonts w:ascii="Calibri" w:hAnsi="Calibri"/>
                <w:b w:val="0"/>
                <w:i w:val="0"/>
                <w:sz w:val="19"/>
              </w:rPr>
              <w:t>4.2×</w:t>
            </w:r>
          </w:p>
        </w:tc>
        <w:tc>
          <w:tcPr>
            <w:tcW w:type="dxa" w:w="2304"/>
            <w:shd w:val="clear" w:color="auto" w:fill="F3F4F6"/>
          </w:tcPr>
          <w:p>
            <w:r>
              <w:rPr>
                <w:rFonts w:ascii="Calibri" w:hAnsi="Calibri"/>
                <w:b w:val="0"/>
                <w:i w:val="0"/>
                <w:sz w:val="19"/>
              </w:rPr>
              <w:t>14-month payback</w:t>
            </w:r>
          </w:p>
        </w:tc>
      </w:tr>
      <w:tr>
        <w:tc>
          <w:tcPr>
            <w:tcW w:type="dxa" w:w="2592"/>
            <w:shd w:val="clear" w:color="auto" w:fill="FFFFFF"/>
          </w:tcPr>
          <w:p>
            <w:r>
              <w:rPr>
                <w:rFonts w:ascii="Calibri" w:hAnsi="Calibri"/>
                <w:b w:val="0"/>
                <w:i w:val="0"/>
                <w:sz w:val="19"/>
              </w:rPr>
              <w:t>5-Year NPV</w:t>
            </w:r>
          </w:p>
        </w:tc>
        <w:tc>
          <w:tcPr>
            <w:tcW w:type="dxa" w:w="1872"/>
            <w:shd w:val="clear" w:color="auto" w:fill="FFFFFF"/>
          </w:tcPr>
          <w:p>
            <w:r>
              <w:rPr>
                <w:rFonts w:ascii="Calibri" w:hAnsi="Calibri"/>
                <w:b w:val="0"/>
                <w:i w:val="0"/>
                <w:sz w:val="19"/>
              </w:rPr>
              <w:t>—</w:t>
            </w:r>
          </w:p>
        </w:tc>
        <w:tc>
          <w:tcPr>
            <w:tcW w:type="dxa" w:w="2160"/>
            <w:shd w:val="clear" w:color="auto" w:fill="FFFFFF"/>
          </w:tcPr>
          <w:p>
            <w:r>
              <w:rPr>
                <w:rFonts w:ascii="Calibri" w:hAnsi="Calibri"/>
                <w:b w:val="0"/>
                <w:i w:val="0"/>
                <w:sz w:val="19"/>
              </w:rPr>
              <w:t>$31.2M</w:t>
            </w:r>
          </w:p>
        </w:tc>
        <w:tc>
          <w:tcPr>
            <w:tcW w:type="dxa" w:w="2304"/>
            <w:shd w:val="clear" w:color="auto" w:fill="FFFFFF"/>
          </w:tcPr>
          <w:p>
            <w:r>
              <w:rPr>
                <w:rFonts w:ascii="Calibri" w:hAnsi="Calibri"/>
                <w:b w:val="0"/>
                <w:i w:val="0"/>
                <w:sz w:val="19"/>
              </w:rPr>
              <w:t>Conservative (no scale-up)</w:t>
            </w:r>
          </w:p>
        </w:tc>
      </w:tr>
    </w:tbl>
    <w:p/>
    <w:p>
      <w:pPr>
        <w:spacing w:before="240" w:after="80"/>
      </w:pPr>
      <w:r>
        <w:rPr>
          <w:rFonts w:ascii="Calibri" w:hAnsi="Calibri"/>
          <w:b/>
          <w:i w:val="0"/>
          <w:color w:val="2563EB"/>
          <w:sz w:val="26"/>
        </w:rPr>
        <w:t>Key Lessons</w:t>
      </w:r>
    </w:p>
    <w:tbl>
      <w:tblPr>
        <w:tblStyle w:val="TableGrid"/>
        <w:tblW w:type="auto" w:w="0"/>
        <w:tblLook w:firstColumn="1" w:firstRow="1" w:lastColumn="0" w:lastRow="0" w:noHBand="0" w:noVBand="1" w:val="04A0"/>
      </w:tblPr>
      <w:tblGrid>
        <w:gridCol w:w="9360"/>
      </w:tblGrid>
      <w:tr>
        <w:tc>
          <w:tcPr>
            <w:tcW w:type="dxa" w:w="9360"/>
            <w:shd w:val="clear" w:color="auto" w:fill="F0FDF4"/>
          </w:tcPr>
          <w:p>
            <w:r>
              <w:rPr>
                <w:rFonts w:ascii="Calibri" w:hAnsi="Calibri"/>
                <w:b w:val="0"/>
                <w:i/>
                <w:color w:val="0F2D5E"/>
                <w:sz w:val="21"/>
              </w:rPr>
              <w:t>Lesson 1: The diagnosis made the business case. Without the $15.9M bottleneck cost figure — derived from their own data — the board would not have approved the investment. The business case was not our estimate; it was their measurement.</w:t>
            </w:r>
          </w:p>
        </w:tc>
      </w:tr>
    </w:tbl>
    <w:p/>
    <w:tbl>
      <w:tblPr>
        <w:tblStyle w:val="TableGrid"/>
        <w:tblW w:type="auto" w:w="0"/>
        <w:tblLook w:firstColumn="1" w:firstRow="1" w:lastColumn="0" w:lastRow="0" w:noHBand="0" w:noVBand="1" w:val="04A0"/>
      </w:tblPr>
      <w:tblGrid>
        <w:gridCol w:w="9360"/>
      </w:tblGrid>
      <w:tr>
        <w:tc>
          <w:tcPr>
            <w:tcW w:type="dxa" w:w="9360"/>
            <w:shd w:val="clear" w:color="auto" w:fill="F0FDF4"/>
          </w:tcPr>
          <w:p>
            <w:r>
              <w:rPr>
                <w:rFonts w:ascii="Calibri" w:hAnsi="Calibri"/>
                <w:b w:val="0"/>
                <w:i/>
                <w:color w:val="0F2D5E"/>
                <w:sz w:val="21"/>
              </w:rPr>
              <w:t>Lesson 2: The platform made the diagnosis possible in 2 weeks, not 3 months. A traditional VSM exercise at US Bank's scale would have taken 12–14 weeks and cost as much as the entire Phase 1 engagement. The platform compressed this to the first 2 weeks of the engagement.</w:t>
            </w:r>
          </w:p>
        </w:tc>
      </w:tr>
    </w:tbl>
    <w:p/>
    <w:tbl>
      <w:tblPr>
        <w:tblStyle w:val="TableGrid"/>
        <w:tblW w:type="auto" w:w="0"/>
        <w:tblLook w:firstColumn="1" w:firstRow="1" w:lastColumn="0" w:lastRow="0" w:noHBand="0" w:noVBand="1" w:val="04A0"/>
      </w:tblPr>
      <w:tblGrid>
        <w:gridCol w:w="9360"/>
      </w:tblGrid>
      <w:tr>
        <w:tc>
          <w:tcPr>
            <w:tcW w:type="dxa" w:w="9360"/>
            <w:shd w:val="clear" w:color="auto" w:fill="F0FDF4"/>
          </w:tcPr>
          <w:p>
            <w:r>
              <w:rPr>
                <w:rFonts w:ascii="Calibri" w:hAnsi="Calibri"/>
                <w:b w:val="0"/>
                <w:i/>
                <w:color w:val="0F2D5E"/>
                <w:sz w:val="21"/>
              </w:rPr>
              <w:t>Lesson 3: Starting with the right option mattered more than starting fast. Option A would have delivered $2.4M/year — significant, but far short of the $8.4M Option B achieved. Choosing the right transformation pathway, grounded in the measured business case, was worth more than any individual technical decision.</w:t>
            </w:r>
          </w:p>
        </w:tc>
      </w:tr>
    </w:tbl>
    <w:p/>
    <w:p>
      <w:pPr>
        <w:spacing w:before="400" w:after="120"/>
      </w:pPr>
      <w:r>
        <w:rPr>
          <w:rFonts w:ascii="Calibri" w:hAnsi="Calibri"/>
          <w:b/>
          <w:i w:val="0"/>
          <w:color w:val="0F2D5E"/>
          <w:sz w:val="32"/>
        </w:rPr>
        <w:t>Reframed on the J-Curve — and where it sits on the ladder</w:t>
      </w:r>
    </w:p>
    <w:p>
      <w:pPr>
        <w:spacing w:after="80"/>
      </w:pPr>
      <w:r>
        <w:rPr>
          <w:rFonts w:ascii="Calibri" w:hAnsi="Calibri"/>
          <w:b w:val="0"/>
          <w:i w:val="0"/>
          <w:sz w:val="21"/>
        </w:rPr>
        <w:t>US Bank — Team Phoenix (Financial Services) targeted L4–L5 (home-grown ADLC) on a Home-grown platform — the home-grown ADLC baseline. Lead time moved 42 → 8 days and flow efficiency 17.8% → 61%. Outcomes shown on the J-Curve basis: investment + tuition-cost dip, breakeven, then compounding cost-avoidance — measured continuously on the Outcome Dashboard.</w:t>
      </w:r>
    </w:p>
    <w:p>
      <w:pPr>
        <w:pStyle w:val="ListBullet"/>
        <w:spacing w:after="40"/>
        <w:ind w:left="432"/>
      </w:pPr>
      <w:r>
        <w:rPr>
          <w:rFonts w:ascii="Calibri" w:hAnsi="Calibri"/>
          <w:b/>
          <w:i w:val="0"/>
          <w:sz w:val="21"/>
        </w:rPr>
        <w:t xml:space="preserve">Investment: </w:t>
      </w:r>
      <w:r>
        <w:rPr>
          <w:rFonts w:ascii="Calibri" w:hAnsi="Calibri"/>
          <w:b w:val="0"/>
          <w:i w:val="0"/>
          <w:sz w:val="21"/>
        </w:rPr>
        <w:t>Hard costs up front: licences + agent/token usage + enablement/training + AI infrastructure.</w:t>
      </w:r>
    </w:p>
    <w:p>
      <w:pPr>
        <w:pStyle w:val="ListBullet"/>
        <w:spacing w:after="40"/>
        <w:ind w:left="432"/>
      </w:pPr>
      <w:r>
        <w:rPr>
          <w:rFonts w:ascii="Calibri" w:hAnsi="Calibri"/>
          <w:b/>
          <w:i w:val="0"/>
          <w:sz w:val="21"/>
        </w:rPr>
        <w:t xml:space="preserve">J-Curve dip (tuition cost): </w:t>
      </w:r>
      <w:r>
        <w:rPr>
          <w:rFonts w:ascii="Calibri" w:hAnsi="Calibri"/>
          <w:b w:val="0"/>
          <w:i w:val="0"/>
          <w:sz w:val="21"/>
        </w:rPr>
        <w:t>Early sprints carry a productivity dip — the learning curve + verification tax (reviewing AI output) — so net savings start negative.</w:t>
      </w:r>
    </w:p>
    <w:p>
      <w:pPr>
        <w:pStyle w:val="ListBullet"/>
        <w:spacing w:after="40"/>
        <w:ind w:left="432"/>
      </w:pPr>
      <w:r>
        <w:rPr>
          <w:rFonts w:ascii="Calibri" w:hAnsi="Calibri"/>
          <w:b/>
          <w:i w:val="0"/>
          <w:sz w:val="21"/>
        </w:rPr>
        <w:t xml:space="preserve">Breakeven: </w:t>
      </w:r>
      <w:r>
        <w:rPr>
          <w:rFonts w:ascii="Calibri" w:hAnsi="Calibri"/>
          <w:b w:val="0"/>
          <w:i w:val="0"/>
          <w:sz w:val="21"/>
        </w:rPr>
        <w:t>As adoption ramps and the dip fades, net savings turn positive and cumulative benefit crosses zero.</w:t>
      </w:r>
    </w:p>
    <w:p>
      <w:pPr>
        <w:pStyle w:val="ListBullet"/>
        <w:spacing w:after="40"/>
        <w:ind w:left="432"/>
      </w:pPr>
      <w:r>
        <w:rPr>
          <w:rFonts w:ascii="Calibri" w:hAnsi="Calibri"/>
          <w:b/>
          <w:i w:val="0"/>
          <w:sz w:val="21"/>
        </w:rPr>
        <w:t xml:space="preserve">Compounding savings: </w:t>
      </w:r>
      <w:r>
        <w:rPr>
          <w:rFonts w:ascii="Calibri" w:hAnsi="Calibri"/>
          <w:b w:val="0"/>
          <w:i w:val="0"/>
          <w:sz w:val="21"/>
        </w:rPr>
        <w:t>Net savings grow sprint-on-sprint; freed capacity is reinvested (cost avoided), not headcount cut.</w:t>
      </w:r>
    </w:p>
    <w:p>
      <w:pPr>
        <w:spacing w:after="80"/>
      </w:pPr>
      <w:r>
        <w:rPr>
          <w:rFonts w:ascii="Calibri" w:hAnsi="Calibri"/>
          <w:b w:val="0"/>
          <w:i w:val="0"/>
          <w:sz w:val="21"/>
        </w:rPr>
        <w:t>Crucially, the home-grown platform carries a standing platform-engineering team and agent/token cost. Those are shared across pods, so the programme is net-negative for a single team early on and turns strongly positive at portfolio scale — exactly the J-Curve dynamic leaders must budget for rather than mistake for failure.</w:t>
      </w:r>
    </w:p>
    <w:p>
      <w:pPr>
        <w:spacing w:before="240" w:after="80"/>
      </w:pPr>
      <w:r>
        <w:rPr>
          <w:rFonts w:ascii="Calibri" w:hAnsi="Calibri"/>
          <w:b/>
          <w:i w:val="0"/>
          <w:color w:val="2563EB"/>
          <w:sz w:val="26"/>
        </w:rPr>
        <w:t>Measured continuously</w:t>
      </w:r>
    </w:p>
    <w:p>
      <w:pPr>
        <w:spacing w:after="80"/>
      </w:pPr>
      <w:r>
        <w:rPr>
          <w:rFonts w:ascii="Calibri" w:hAnsi="Calibri"/>
          <w:b w:val="0"/>
          <w:i w:val="0"/>
          <w:sz w:val="21"/>
        </w:rPr>
        <w:t>Throughout, progress was tracked on the three-perspective Outcome Dashboard (AI Adoption · PDLC Performance · AI Ops &amp; Assurance), with the productivity saving expressed as one reconciled figure in three units — person-days saved = dollars saved = story points of freed capacity.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