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F2D5E"/>
          </w:tcPr>
          <w:p>
            <w:pPr>
              <w:spacing w:before="400" w:after="1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44"/>
              </w:rPr>
              <w:t>AI-Powered PDLC Transformation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DBEAFE"/>
                <w:sz w:val="26"/>
              </w:rPr>
              <w:t>GTM Pack — Set 1: CXO GTM Pack</w:t>
            </w:r>
          </w:p>
          <w:p>
            <w:pPr>
              <w:spacing w:after="400"/>
              <w:jc w:val="center"/>
            </w:pPr>
            <w:r>
              <w:rPr>
                <w:rFonts w:ascii="Calibri" w:hAnsi="Calibri"/>
                <w:b w:val="0"/>
                <w:i/>
                <w:color w:val="DBEAFE"/>
                <w:sz w:val="22"/>
              </w:rPr>
              <w:t>Document 08 of 10</w:t>
            </w:r>
          </w:p>
        </w:tc>
      </w:tr>
    </w:tbl>
    <w:p/>
    <w:p>
      <w:pPr>
        <w:jc w:val="center"/>
      </w:pPr>
      <w:r>
        <w:rPr>
          <w:rFonts w:ascii="Calibri" w:hAnsi="Calibri"/>
          <w:b/>
          <w:i w:val="0"/>
          <w:color w:val="0F2D5E"/>
          <w:sz w:val="52"/>
        </w:rPr>
        <w:t>Commercial Model &amp; Pricing Guide</w:t>
      </w:r>
    </w:p>
    <w:p>
      <w:pPr>
        <w:jc w:val="center"/>
      </w:pPr>
      <w:r>
        <w:rPr>
          <w:rFonts w:ascii="Calibri" w:hAnsi="Calibri"/>
          <w:b w:val="0"/>
          <w:i/>
          <w:color w:val="2563EB"/>
          <w:sz w:val="28"/>
        </w:rPr>
        <w:t>AI-Powered PDLC Transformation — Three-Option Fee Structure</w:t>
      </w:r>
    </w:p>
    <w:p>
      <w:pPr>
        <w:spacing w:before="60" w:after="60"/>
        <w:pBdr>
          <w:bottom w:val="single" w:sz="6" w:space="1" w:color="2563EB"/>
        </w:pBdr>
      </w:pPr>
    </w:p>
    <w:p>
      <w:pPr>
        <w:jc w:val="center"/>
      </w:pPr>
      <w:r>
        <w:rPr>
          <w:rFonts w:ascii="Calibri" w:hAnsi="Calibri"/>
          <w:b w:val="0"/>
          <w:i w:val="0"/>
          <w:color w:val="4B5563"/>
          <w:sz w:val="22"/>
        </w:rPr>
        <w:t>DIAGNOSE · DESIGN · DELIVER · Accelerated by AI</w:t>
      </w:r>
    </w:p>
    <w:p>
      <w:r>
        <w:br w:type="page"/>
      </w:r>
    </w:p>
    <w:p>
      <w:pPr>
        <w:spacing w:before="400" w:after="120"/>
      </w:pPr>
      <w:r>
        <w:rPr>
          <w:rFonts w:ascii="Calibri" w:hAnsi="Calibri"/>
          <w:b/>
          <w:i w:val="0"/>
          <w:color w:val="0F2D5E"/>
          <w:sz w:val="32"/>
        </w:rPr>
        <w:t>Commercial Philosophy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The AI-Powered PDLC Transformation commercial model is designed around three principles: predictability for the client (fixed fees where possible), alignment of interests (outcome-linked pricing), and confidence to invest (savings guarantee on Phase 1).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The model separates the low-risk entry point (Phase 1 Diagnose at $150K fixed) from the transformation investment (Phase 3 Deliver, sized to option and organisation). This allows clients to validate the opportunity and the evidence before committing to the larger programme.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DBEAFE"/>
          </w:tcPr>
          <w:p>
            <w:r>
              <w:rPr>
                <w:rFonts w:ascii="Calibri" w:hAnsi="Calibri"/>
                <w:b w:val="0"/>
                <w:i/>
                <w:color w:val="0F2D5E"/>
                <w:sz w:val="21"/>
              </w:rPr>
              <w:t>No client should commit to a Phase 3 programme without completing Phase 1. The diagnosis is not a prelude to the real engagement — it IS the first investment that pays for itself.</w:t>
            </w:r>
          </w:p>
        </w:tc>
      </w:tr>
    </w:tbl>
    <w:p/>
    <w:p>
      <w:pPr>
        <w:spacing w:before="60" w:after="60"/>
        <w:pBdr>
          <w:bottom w:val="single" w:sz="6" w:space="1" w:color="2563EB"/>
        </w:pBdr>
      </w:pPr>
    </w:p>
    <w:p>
      <w:pPr>
        <w:spacing w:before="400" w:after="120"/>
      </w:pPr>
      <w:r>
        <w:rPr>
          <w:rFonts w:ascii="Calibri" w:hAnsi="Calibri"/>
          <w:b/>
          <w:i w:val="0"/>
          <w:color w:val="0F2D5E"/>
          <w:sz w:val="32"/>
        </w:rPr>
        <w:t>Phase 1: Diagnose — Fixed Fee Engagement</w:t>
      </w:r>
    </w:p>
    <w:p>
      <w:pPr>
        <w:spacing w:before="240" w:after="80"/>
      </w:pPr>
      <w:r>
        <w:rPr>
          <w:rFonts w:ascii="Calibri" w:hAnsi="Calibri"/>
          <w:b/>
          <w:i w:val="0"/>
          <w:color w:val="2563EB"/>
          <w:sz w:val="26"/>
        </w:rPr>
        <w:t>What Is Included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val="clear" w:color="auto" w:fill="0F2D5E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Deliverable</w:t>
            </w:r>
          </w:p>
        </w:tc>
        <w:tc>
          <w:tcPr>
            <w:tcW w:type="dxa" w:w="4320"/>
            <w:shd w:val="clear" w:color="auto" w:fill="0F2D5E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Description</w:t>
            </w:r>
          </w:p>
        </w:tc>
        <w:tc>
          <w:tcPr>
            <w:tcW w:type="dxa" w:w="2016"/>
            <w:shd w:val="clear" w:color="auto" w:fill="0F2D5E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Format</w:t>
            </w:r>
          </w:p>
        </w:tc>
      </w:tr>
      <w:tr>
        <w:tc>
          <w:tcPr>
            <w:tcW w:type="dxa" w:w="2592"/>
            <w:shd w:val="clear" w:color="auto" w:fill="F3F4F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ALM Data Connection</w:t>
            </w:r>
          </w:p>
        </w:tc>
        <w:tc>
          <w:tcPr>
            <w:tcW w:type="dxa" w:w="4320"/>
            <w:shd w:val="clear" w:color="auto" w:fill="F3F4F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Automated integration with Jira, Azure DevOps, or Rally. Historical data extraction (12–18 months).</w:t>
            </w:r>
          </w:p>
        </w:tc>
        <w:tc>
          <w:tcPr>
            <w:tcW w:type="dxa" w:w="2016"/>
            <w:shd w:val="clear" w:color="auto" w:fill="F3F4F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Platform-enabled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Current State VSM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AI-generated value stream map showing lead time, process time, queue time, and flow efficiency at each step.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Visual + data export</w:t>
            </w:r>
          </w:p>
        </w:tc>
      </w:tr>
      <w:tr>
        <w:tc>
          <w:tcPr>
            <w:tcW w:type="dxa" w:w="2592"/>
            <w:shd w:val="clear" w:color="auto" w:fill="F3F4F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Bottleneck Analysis</w:t>
            </w:r>
          </w:p>
        </w:tc>
        <w:tc>
          <w:tcPr>
            <w:tcW w:type="dxa" w:w="4320"/>
            <w:shd w:val="clear" w:color="auto" w:fill="F3F4F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AI-prioritised bottleneck list with quantified cost impact per bottleneck.</w:t>
            </w:r>
          </w:p>
        </w:tc>
        <w:tc>
          <w:tcPr>
            <w:tcW w:type="dxa" w:w="2016"/>
            <w:shd w:val="clear" w:color="auto" w:fill="F3F4F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Ranked report + dashboard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Speed/Productivity/Quality Quantification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Measured baseline across three dimensions, benchmarked vs. sector peers.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Benchmark report</w:t>
            </w:r>
          </w:p>
        </w:tc>
      </w:tr>
      <w:tr>
        <w:tc>
          <w:tcPr>
            <w:tcW w:type="dxa" w:w="2592"/>
            <w:shd w:val="clear" w:color="auto" w:fill="F3F4F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Three-Option Business Case</w:t>
            </w:r>
          </w:p>
        </w:tc>
        <w:tc>
          <w:tcPr>
            <w:tcW w:type="dxa" w:w="4320"/>
            <w:shd w:val="clear" w:color="auto" w:fill="F3F4F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Detailed business case for Options A, B, and C — investment, annual benefit, payback, NPV.</w:t>
            </w:r>
          </w:p>
        </w:tc>
        <w:tc>
          <w:tcPr>
            <w:tcW w:type="dxa" w:w="2016"/>
            <w:shd w:val="clear" w:color="auto" w:fill="F3F4F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CFO-ready document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Executive Presentation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Board-ready summary presentation with data, options, and recommended next step.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PowerPoint + facilitation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i w:val="0"/>
          <w:color w:val="2563EB"/>
          <w:sz w:val="26"/>
        </w:rPr>
        <w:t>Phase 1 Fee 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val="clear" w:color="auto" w:fill="0F2D5E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Item</w:t>
            </w:r>
          </w:p>
        </w:tc>
        <w:tc>
          <w:tcPr>
            <w:tcW w:type="dxa" w:w="6048"/>
            <w:shd w:val="clear" w:color="auto" w:fill="0F2D5E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Detail</w:t>
            </w:r>
          </w:p>
        </w:tc>
      </w:tr>
      <w:tr>
        <w:tc>
          <w:tcPr>
            <w:tcW w:type="dxa" w:w="2880"/>
            <w:shd w:val="clear" w:color="auto" w:fill="F3F4F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Fixed Fee</w:t>
            </w:r>
          </w:p>
        </w:tc>
        <w:tc>
          <w:tcPr>
            <w:tcW w:type="dxa" w:w="6048"/>
            <w:shd w:val="clear" w:color="auto" w:fill="F3F4F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$150,000 (all-inclusive, no variable components)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Duration</w:t>
            </w:r>
          </w:p>
        </w:tc>
        <w:tc>
          <w:tcPr>
            <w:tcW w:type="dxa" w:w="604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8 weeks from signed engagement letter to executive presentation</w:t>
            </w:r>
          </w:p>
        </w:tc>
      </w:tr>
      <w:tr>
        <w:tc>
          <w:tcPr>
            <w:tcW w:type="dxa" w:w="2880"/>
            <w:shd w:val="clear" w:color="auto" w:fill="F3F4F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Payment Schedule</w:t>
            </w:r>
          </w:p>
        </w:tc>
        <w:tc>
          <w:tcPr>
            <w:tcW w:type="dxa" w:w="6048"/>
            <w:shd w:val="clear" w:color="auto" w:fill="F3F4F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50% on signature; 50% on delivery of executive presentation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Savings Guarantee</w:t>
            </w:r>
          </w:p>
        </w:tc>
        <w:tc>
          <w:tcPr>
            <w:tcW w:type="dxa" w:w="604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If Phase 1 does not identify at least $500K in annual bottleneck savings, the second payment is waived</w:t>
            </w:r>
          </w:p>
        </w:tc>
      </w:tr>
      <w:tr>
        <w:tc>
          <w:tcPr>
            <w:tcW w:type="dxa" w:w="2880"/>
            <w:shd w:val="clear" w:color="auto" w:fill="F3F4F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What Is NOT Included</w:t>
            </w:r>
          </w:p>
        </w:tc>
        <w:tc>
          <w:tcPr>
            <w:tcW w:type="dxa" w:w="6048"/>
            <w:shd w:val="clear" w:color="auto" w:fill="F3F4F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ALM access credentials (client provides); stakeholder interview time (client-side); data privacy/legal review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Phase 2 Design</w:t>
            </w:r>
          </w:p>
        </w:tc>
        <w:tc>
          <w:tcPr>
            <w:tcW w:type="dxa" w:w="604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Included in Phase 1 fee — business case for all 3 options is part of the Phase 1 deliverable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DBEAFE"/>
          </w:tcPr>
          <w:p>
            <w:r>
              <w:rPr>
                <w:rFonts w:ascii="Calibri" w:hAnsi="Calibri"/>
                <w:b w:val="0"/>
                <w:i/>
                <w:color w:val="0F2D5E"/>
                <w:sz w:val="21"/>
              </w:rPr>
              <w:t>The $500K savings guarantee is the right offer because Phase 1 consistently identifies $2–15M in annual bottleneck cost. No client has ever triggered the guarantee. It exists to eliminate risk aversion at the entry point.</w:t>
            </w:r>
          </w:p>
        </w:tc>
      </w:tr>
    </w:tbl>
    <w:p/>
    <w:p>
      <w:pPr>
        <w:spacing w:before="60" w:after="60"/>
        <w:pBdr>
          <w:bottom w:val="single" w:sz="6" w:space="1" w:color="2563EB"/>
        </w:pBdr>
      </w:pPr>
    </w:p>
    <w:p>
      <w:pPr>
        <w:spacing w:before="400" w:after="120"/>
      </w:pPr>
      <w:r>
        <w:rPr>
          <w:rFonts w:ascii="Calibri" w:hAnsi="Calibri"/>
          <w:b/>
          <w:i w:val="0"/>
          <w:color w:val="0F2D5E"/>
          <w:sz w:val="32"/>
        </w:rPr>
        <w:t>Phase 3: Deliver — Three-Option Fee Structure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Phase 3 fees are determined by the selected transformation option. All three options include: implementation consulting, AI agent deployment and configuration, governance design, change management, and benefits tracking framework. Platform licensing is included for the programme duration.</w:t>
      </w:r>
    </w:p>
    <w:p>
      <w:pPr>
        <w:spacing w:before="240" w:after="80"/>
      </w:pPr>
      <w:r>
        <w:rPr>
          <w:rFonts w:ascii="Calibri" w:hAnsi="Calibri"/>
          <w:b/>
          <w:i w:val="0"/>
          <w:color w:val="2563EB"/>
          <w:sz w:val="26"/>
        </w:rPr>
        <w:t>Option A — AI-Augmented PDLC: Human In the Loop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68"/>
            <w:shd w:val="clear" w:color="auto" w:fill="0F2D5E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Component</w:t>
            </w:r>
          </w:p>
        </w:tc>
        <w:tc>
          <w:tcPr>
            <w:tcW w:type="dxa" w:w="2160"/>
            <w:shd w:val="clear" w:color="auto" w:fill="0F2D5E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Range</w:t>
            </w:r>
          </w:p>
        </w:tc>
        <w:tc>
          <w:tcPr>
            <w:tcW w:type="dxa" w:w="3600"/>
            <w:shd w:val="clear" w:color="auto" w:fill="0F2D5E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Detail</w:t>
            </w:r>
          </w:p>
        </w:tc>
      </w:tr>
      <w:tr>
        <w:tc>
          <w:tcPr>
            <w:tcW w:type="dxa" w:w="3168"/>
            <w:shd w:val="clear" w:color="auto" w:fill="F3F4F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Programme Consulting Fees</w:t>
            </w:r>
          </w:p>
        </w:tc>
        <w:tc>
          <w:tcPr>
            <w:tcW w:type="dxa" w:w="2160"/>
            <w:shd w:val="clear" w:color="auto" w:fill="F3F4F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$250,000–$450,000</w:t>
            </w:r>
          </w:p>
        </w:tc>
        <w:tc>
          <w:tcPr>
            <w:tcW w:type="dxa" w:w="3600"/>
            <w:shd w:val="clear" w:color="auto" w:fill="F3F4F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Implementation consulting, team coaching, governance design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AI Tool Licensing &amp; Configuration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$50,000–$100,000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Tool selection, licensing, integration, configuration</w:t>
            </w:r>
          </w:p>
        </w:tc>
      </w:tr>
      <w:tr>
        <w:tc>
          <w:tcPr>
            <w:tcW w:type="dxa" w:w="3168"/>
            <w:shd w:val="clear" w:color="auto" w:fill="F3F4F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Change Management &amp; Training</w:t>
            </w:r>
          </w:p>
        </w:tc>
        <w:tc>
          <w:tcPr>
            <w:tcW w:type="dxa" w:w="2160"/>
            <w:shd w:val="clear" w:color="auto" w:fill="F3F4F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$50,000–$50,000</w:t>
            </w:r>
          </w:p>
        </w:tc>
        <w:tc>
          <w:tcPr>
            <w:tcW w:type="dxa" w:w="3600"/>
            <w:shd w:val="clear" w:color="auto" w:fill="F3F4F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Adoption programme, team training, executive alignment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TOTAL INVESTMENT RANGE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$350,000–$600,000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Inclusive 24-month programme</w:t>
            </w:r>
          </w:p>
        </w:tc>
      </w:tr>
      <w:tr>
        <w:tc>
          <w:tcPr>
            <w:tcW w:type="dxa" w:w="3168"/>
            <w:shd w:val="clear" w:color="auto" w:fill="F3F4F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Expected Annual Benefit</w:t>
            </w:r>
          </w:p>
        </w:tc>
        <w:tc>
          <w:tcPr>
            <w:tcW w:type="dxa" w:w="2160"/>
            <w:shd w:val="clear" w:color="auto" w:fill="F3F4F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$700K–$1.2M/year</w:t>
            </w:r>
          </w:p>
        </w:tc>
        <w:tc>
          <w:tcPr>
            <w:tcW w:type="dxa" w:w="3600"/>
            <w:shd w:val="clear" w:color="auto" w:fill="F3F4F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Speed +25%, Productivity +20%, Quality +15%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At-Risk Component (30%)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$105K–$180K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Released on measured ROI at 12 months</w:t>
            </w:r>
          </w:p>
        </w:tc>
      </w:tr>
      <w:tr>
        <w:tc>
          <w:tcPr>
            <w:tcW w:type="dxa" w:w="3168"/>
            <w:shd w:val="clear" w:color="auto" w:fill="F3F4F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ROI Multiple</w:t>
            </w:r>
          </w:p>
        </w:tc>
        <w:tc>
          <w:tcPr>
            <w:tcW w:type="dxa" w:w="2160"/>
            <w:shd w:val="clear" w:color="auto" w:fill="F3F4F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2–3×</w:t>
            </w:r>
          </w:p>
        </w:tc>
        <w:tc>
          <w:tcPr>
            <w:tcW w:type="dxa" w:w="3600"/>
            <w:shd w:val="clear" w:color="auto" w:fill="F3F4F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24-month horizon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i w:val="0"/>
          <w:color w:val="2563EB"/>
          <w:sz w:val="26"/>
        </w:rPr>
        <w:t>Option B — AI Agents + Human Gates: Human On the Loop 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68"/>
            <w:shd w:val="clear" w:color="auto" w:fill="0F2D5E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Component</w:t>
            </w:r>
          </w:p>
        </w:tc>
        <w:tc>
          <w:tcPr>
            <w:tcW w:type="dxa" w:w="2160"/>
            <w:shd w:val="clear" w:color="auto" w:fill="0F2D5E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Range</w:t>
            </w:r>
          </w:p>
        </w:tc>
        <w:tc>
          <w:tcPr>
            <w:tcW w:type="dxa" w:w="3600"/>
            <w:shd w:val="clear" w:color="auto" w:fill="0F2D5E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Detail</w:t>
            </w:r>
          </w:p>
        </w:tc>
      </w:tr>
      <w:tr>
        <w:tc>
          <w:tcPr>
            <w:tcW w:type="dxa" w:w="3168"/>
            <w:shd w:val="clear" w:color="auto" w:fill="F3F4F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Programme Consulting Fees</w:t>
            </w:r>
          </w:p>
        </w:tc>
        <w:tc>
          <w:tcPr>
            <w:tcW w:type="dxa" w:w="2160"/>
            <w:shd w:val="clear" w:color="auto" w:fill="F3F4F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$750,000–$1,200,000</w:t>
            </w:r>
          </w:p>
        </w:tc>
        <w:tc>
          <w:tcPr>
            <w:tcW w:type="dxa" w:w="3600"/>
            <w:shd w:val="clear" w:color="auto" w:fill="F3F4F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Implementation, agent configuration, governance architecture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AI Agent Deployment &amp; Integration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$250,000–$450,000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LangGraph agents, ALM integration, gate automation</w:t>
            </w:r>
          </w:p>
        </w:tc>
      </w:tr>
      <w:tr>
        <w:tc>
          <w:tcPr>
            <w:tcW w:type="dxa" w:w="3168"/>
            <w:shd w:val="clear" w:color="auto" w:fill="F3F4F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Governance Design &amp; Audit Framework</w:t>
            </w:r>
          </w:p>
        </w:tc>
        <w:tc>
          <w:tcPr>
            <w:tcW w:type="dxa" w:w="2160"/>
            <w:shd w:val="clear" w:color="auto" w:fill="F3F4F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$100,000–$200,000</w:t>
            </w:r>
          </w:p>
        </w:tc>
        <w:tc>
          <w:tcPr>
            <w:tcW w:type="dxa" w:w="3600"/>
            <w:shd w:val="clear" w:color="auto" w:fill="F3F4F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Gate definitions, audit trail, regulatory alignment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Change Management &amp; Training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$100,000–$150,000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Adoption programme, change coaching, exec reporting</w:t>
            </w:r>
          </w:p>
        </w:tc>
      </w:tr>
      <w:tr>
        <w:tc>
          <w:tcPr>
            <w:tcW w:type="dxa" w:w="3168"/>
            <w:shd w:val="clear" w:color="auto" w:fill="F3F4F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TOTAL INVESTMENT RANGE</w:t>
            </w:r>
          </w:p>
        </w:tc>
        <w:tc>
          <w:tcPr>
            <w:tcW w:type="dxa" w:w="2160"/>
            <w:shd w:val="clear" w:color="auto" w:fill="F3F4F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$1,200,000–$2,000,000</w:t>
            </w:r>
          </w:p>
        </w:tc>
        <w:tc>
          <w:tcPr>
            <w:tcW w:type="dxa" w:w="3600"/>
            <w:shd w:val="clear" w:color="auto" w:fill="F3F4F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Inclusive 24-month programme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Expected Annual Benefit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$4.8M–$8M/year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Speed +55%, Productivity +50%, Quality +35%</w:t>
            </w:r>
          </w:p>
        </w:tc>
      </w:tr>
      <w:tr>
        <w:tc>
          <w:tcPr>
            <w:tcW w:type="dxa" w:w="3168"/>
            <w:shd w:val="clear" w:color="auto" w:fill="F3F4F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At-Risk Component (30%)</w:t>
            </w:r>
          </w:p>
        </w:tc>
        <w:tc>
          <w:tcPr>
            <w:tcW w:type="dxa" w:w="2160"/>
            <w:shd w:val="clear" w:color="auto" w:fill="F3F4F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$360K–$600K</w:t>
            </w:r>
          </w:p>
        </w:tc>
        <w:tc>
          <w:tcPr>
            <w:tcW w:type="dxa" w:w="3600"/>
            <w:shd w:val="clear" w:color="auto" w:fill="F3F4F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Released on measured ROI at 12 months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ROI Multiple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4–6×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24-month horizon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i w:val="0"/>
          <w:color w:val="2563EB"/>
          <w:sz w:val="26"/>
        </w:rPr>
        <w:t>Option C — Fully Agentic PDLC: Human Above the Loop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68"/>
            <w:shd w:val="clear" w:color="auto" w:fill="0F2D5E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Component</w:t>
            </w:r>
          </w:p>
        </w:tc>
        <w:tc>
          <w:tcPr>
            <w:tcW w:type="dxa" w:w="2160"/>
            <w:shd w:val="clear" w:color="auto" w:fill="0F2D5E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Range</w:t>
            </w:r>
          </w:p>
        </w:tc>
        <w:tc>
          <w:tcPr>
            <w:tcW w:type="dxa" w:w="3600"/>
            <w:shd w:val="clear" w:color="auto" w:fill="0F2D5E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Detail</w:t>
            </w:r>
          </w:p>
        </w:tc>
      </w:tr>
      <w:tr>
        <w:tc>
          <w:tcPr>
            <w:tcW w:type="dxa" w:w="3168"/>
            <w:shd w:val="clear" w:color="auto" w:fill="F3F4F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Programme Consulting Fees</w:t>
            </w:r>
          </w:p>
        </w:tc>
        <w:tc>
          <w:tcPr>
            <w:tcW w:type="dxa" w:w="2160"/>
            <w:shd w:val="clear" w:color="auto" w:fill="F3F4F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$1,500,000–$2,500,000</w:t>
            </w:r>
          </w:p>
        </w:tc>
        <w:tc>
          <w:tcPr>
            <w:tcW w:type="dxa" w:w="3600"/>
            <w:shd w:val="clear" w:color="auto" w:fill="F3F4F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Deep transformation, agentic architecture, change at scale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Agentic Platform &amp; Integration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$800,000–$1,500,000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Full autonomous pipeline, orchestration, monitoring</w:t>
            </w:r>
          </w:p>
        </w:tc>
      </w:tr>
      <w:tr>
        <w:tc>
          <w:tcPr>
            <w:tcW w:type="dxa" w:w="3168"/>
            <w:shd w:val="clear" w:color="auto" w:fill="F3F4F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Governance, Risk &amp; Compliance Framework</w:t>
            </w:r>
          </w:p>
        </w:tc>
        <w:tc>
          <w:tcPr>
            <w:tcW w:type="dxa" w:w="2160"/>
            <w:shd w:val="clear" w:color="auto" w:fill="F3F4F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$400,000–$700,000</w:t>
            </w:r>
          </w:p>
        </w:tc>
        <w:tc>
          <w:tcPr>
            <w:tcW w:type="dxa" w:w="3600"/>
            <w:shd w:val="clear" w:color="auto" w:fill="F3F4F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Regulatory design, risk controls, audit architecture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Change Management &amp; Capability Build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$300,000–$300,000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Operating model redesign, capability transfer, board reporting</w:t>
            </w:r>
          </w:p>
        </w:tc>
      </w:tr>
      <w:tr>
        <w:tc>
          <w:tcPr>
            <w:tcW w:type="dxa" w:w="3168"/>
            <w:shd w:val="clear" w:color="auto" w:fill="F3F4F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TOTAL INVESTMENT RANGE</w:t>
            </w:r>
          </w:p>
        </w:tc>
        <w:tc>
          <w:tcPr>
            <w:tcW w:type="dxa" w:w="2160"/>
            <w:shd w:val="clear" w:color="auto" w:fill="F3F4F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$3,000,000–$5,000,000</w:t>
            </w:r>
          </w:p>
        </w:tc>
        <w:tc>
          <w:tcPr>
            <w:tcW w:type="dxa" w:w="3600"/>
            <w:shd w:val="clear" w:color="auto" w:fill="F3F4F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Inclusive 36-month programme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Expected Annual Benefit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$12M–$20M/year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Speed +75%, Productivity +75%, Quality +60%</w:t>
            </w:r>
          </w:p>
        </w:tc>
      </w:tr>
      <w:tr>
        <w:tc>
          <w:tcPr>
            <w:tcW w:type="dxa" w:w="3168"/>
            <w:shd w:val="clear" w:color="auto" w:fill="F3F4F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At-Risk Component (30%)</w:t>
            </w:r>
          </w:p>
        </w:tc>
        <w:tc>
          <w:tcPr>
            <w:tcW w:type="dxa" w:w="2160"/>
            <w:shd w:val="clear" w:color="auto" w:fill="F3F4F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$900K–$1.5M</w:t>
            </w:r>
          </w:p>
        </w:tc>
        <w:tc>
          <w:tcPr>
            <w:tcW w:type="dxa" w:w="3600"/>
            <w:shd w:val="clear" w:color="auto" w:fill="F3F4F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Released on measured ROI at 18 months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ROI Multiple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8–12×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36-month horizon</w:t>
            </w:r>
          </w:p>
        </w:tc>
      </w:tr>
    </w:tbl>
    <w:p/>
    <w:p>
      <w:pPr>
        <w:spacing w:before="60" w:after="60"/>
        <w:pBdr>
          <w:bottom w:val="single" w:sz="6" w:space="1" w:color="2563EB"/>
        </w:pBdr>
      </w:pPr>
    </w:p>
    <w:p>
      <w:pPr>
        <w:spacing w:before="400" w:after="120"/>
      </w:pPr>
      <w:r>
        <w:rPr>
          <w:rFonts w:ascii="Calibri" w:hAnsi="Calibri"/>
          <w:b/>
          <w:i w:val="0"/>
          <w:color w:val="0F2D5E"/>
          <w:sz w:val="32"/>
        </w:rPr>
        <w:t>Outcome-Linked Pricing: The At-Risk Component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All three options include a 30% at-risk component tied to measured ROI outcomes. This structure aligns consulting incentives with client outcomes and demonstrates confidence in the offering's delivery.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val="clear" w:color="auto" w:fill="0F2D5E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At-Risk Mechanism</w:t>
            </w:r>
          </w:p>
        </w:tc>
        <w:tc>
          <w:tcPr>
            <w:tcW w:type="dxa" w:w="5760"/>
            <w:shd w:val="clear" w:color="auto" w:fill="0F2D5E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Detail</w:t>
            </w:r>
          </w:p>
        </w:tc>
      </w:tr>
      <w:tr>
        <w:tc>
          <w:tcPr>
            <w:tcW w:type="dxa" w:w="3168"/>
            <w:shd w:val="clear" w:color="auto" w:fill="F3F4F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At-Risk Amount</w:t>
            </w:r>
          </w:p>
        </w:tc>
        <w:tc>
          <w:tcPr>
            <w:tcW w:type="dxa" w:w="5760"/>
            <w:shd w:val="clear" w:color="auto" w:fill="F3F4F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30% of total programme fee held in escrow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Release Trigger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Measured ROI equal to or exceeding the projected ROI multiple at the defined measurement date</w:t>
            </w:r>
          </w:p>
        </w:tc>
      </w:tr>
      <w:tr>
        <w:tc>
          <w:tcPr>
            <w:tcW w:type="dxa" w:w="3168"/>
            <w:shd w:val="clear" w:color="auto" w:fill="F3F4F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Measurement Method</w:t>
            </w:r>
          </w:p>
        </w:tc>
        <w:tc>
          <w:tcPr>
            <w:tcW w:type="dxa" w:w="5760"/>
            <w:shd w:val="clear" w:color="auto" w:fill="F3F4F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Lead time, flow efficiency, and throughput measured from ALM data (same source as Phase 1 baseline)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Measurement Date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Option A/B: 12 months post-deployment start. Option C: 18 months.</w:t>
            </w:r>
          </w:p>
        </w:tc>
      </w:tr>
      <w:tr>
        <w:tc>
          <w:tcPr>
            <w:tcW w:type="dxa" w:w="3168"/>
            <w:shd w:val="clear" w:color="auto" w:fill="F3F4F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If Target Not Met</w:t>
            </w:r>
          </w:p>
        </w:tc>
        <w:tc>
          <w:tcPr>
            <w:tcW w:type="dxa" w:w="5760"/>
            <w:shd w:val="clear" w:color="auto" w:fill="F3F4F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At-risk amount is returned to client. Consulting team continues engagement at cost to diagnose and remediate.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Track Record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At-risk component has been retained in 100% of completed engagements to date.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DBEAFE"/>
          </w:tcPr>
          <w:p>
            <w:r>
              <w:rPr>
                <w:rFonts w:ascii="Calibri" w:hAnsi="Calibri"/>
                <w:b w:val="0"/>
                <w:i/>
                <w:color w:val="0F2D5E"/>
                <w:sz w:val="21"/>
              </w:rPr>
              <w:t>The at-risk component is not a marketing device — it is a structural commitment. We retain 30% of our fee only if we deliver the measured ROI we promised. This is why the Phase 1 diagnosis is non-negotiable: we will not accept a programme we cannot measure.</w:t>
            </w:r>
          </w:p>
        </w:tc>
      </w:tr>
    </w:tbl>
    <w:p/>
    <w:p>
      <w:pPr>
        <w:spacing w:before="60" w:after="60"/>
        <w:pBdr>
          <w:bottom w:val="single" w:sz="6" w:space="1" w:color="2563EB"/>
        </w:pBdr>
      </w:pPr>
    </w:p>
    <w:p>
      <w:pPr>
        <w:spacing w:before="400" w:after="120"/>
      </w:pPr>
      <w:r>
        <w:rPr>
          <w:rFonts w:ascii="Calibri" w:hAnsi="Calibri"/>
          <w:b/>
          <w:i w:val="0"/>
          <w:color w:val="0F2D5E"/>
          <w:sz w:val="32"/>
        </w:rPr>
        <w:t>Full Programme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160"/>
            <w:shd w:val="clear" w:color="auto" w:fill="0F2D5E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</w:r>
          </w:p>
        </w:tc>
        <w:tc>
          <w:tcPr>
            <w:tcW w:type="dxa" w:w="1872"/>
            <w:shd w:val="clear" w:color="auto" w:fill="0F2D5E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Phase 1 Diagnose</w:t>
            </w:r>
          </w:p>
        </w:tc>
        <w:tc>
          <w:tcPr>
            <w:tcW w:type="dxa" w:w="1872"/>
            <w:shd w:val="clear" w:color="auto" w:fill="0F2D5E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Phase 3 — Option A</w:t>
            </w:r>
          </w:p>
        </w:tc>
        <w:tc>
          <w:tcPr>
            <w:tcW w:type="dxa" w:w="2160"/>
            <w:shd w:val="clear" w:color="auto" w:fill="0F2D5E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Phase 3 — Option B ★</w:t>
            </w:r>
          </w:p>
        </w:tc>
        <w:tc>
          <w:tcPr>
            <w:tcW w:type="dxa" w:w="1872"/>
            <w:shd w:val="clear" w:color="auto" w:fill="0F2D5E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Phase 3 — Option C</w:t>
            </w:r>
          </w:p>
        </w:tc>
      </w:tr>
      <w:tr>
        <w:tc>
          <w:tcPr>
            <w:tcW w:type="dxa" w:w="2160"/>
            <w:shd w:val="clear" w:color="auto" w:fill="F3F4F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Fee</w:t>
            </w:r>
          </w:p>
        </w:tc>
        <w:tc>
          <w:tcPr>
            <w:tcW w:type="dxa" w:w="1872"/>
            <w:shd w:val="clear" w:color="auto" w:fill="F3F4F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$150,000 fixed</w:t>
            </w:r>
          </w:p>
        </w:tc>
        <w:tc>
          <w:tcPr>
            <w:tcW w:type="dxa" w:w="1872"/>
            <w:shd w:val="clear" w:color="auto" w:fill="F3F4F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$350–600K</w:t>
            </w:r>
          </w:p>
        </w:tc>
        <w:tc>
          <w:tcPr>
            <w:tcW w:type="dxa" w:w="2160"/>
            <w:shd w:val="clear" w:color="auto" w:fill="F3F4F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$1.2–2M</w:t>
            </w:r>
          </w:p>
        </w:tc>
        <w:tc>
          <w:tcPr>
            <w:tcW w:type="dxa" w:w="1872"/>
            <w:shd w:val="clear" w:color="auto" w:fill="F3F4F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$3–5M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Duration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8 weeks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18–24 months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18–24 months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24–36 months</w:t>
            </w:r>
          </w:p>
        </w:tc>
      </w:tr>
      <w:tr>
        <w:tc>
          <w:tcPr>
            <w:tcW w:type="dxa" w:w="2160"/>
            <w:shd w:val="clear" w:color="auto" w:fill="F3F4F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Payment</w:t>
            </w:r>
          </w:p>
        </w:tc>
        <w:tc>
          <w:tcPr>
            <w:tcW w:type="dxa" w:w="1872"/>
            <w:shd w:val="clear" w:color="auto" w:fill="F3F4F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50/50 on delivery</w:t>
            </w:r>
          </w:p>
        </w:tc>
        <w:tc>
          <w:tcPr>
            <w:tcW w:type="dxa" w:w="1872"/>
            <w:shd w:val="clear" w:color="auto" w:fill="F3F4F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Milestone-based</w:t>
            </w:r>
          </w:p>
        </w:tc>
        <w:tc>
          <w:tcPr>
            <w:tcW w:type="dxa" w:w="2160"/>
            <w:shd w:val="clear" w:color="auto" w:fill="F3F4F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Milestone-based</w:t>
            </w:r>
          </w:p>
        </w:tc>
        <w:tc>
          <w:tcPr>
            <w:tcW w:type="dxa" w:w="1872"/>
            <w:shd w:val="clear" w:color="auto" w:fill="F3F4F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Milestone-based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At-Risk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Savings guarantee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30% of fee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30% of fee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30% of fee</w:t>
            </w:r>
          </w:p>
        </w:tc>
      </w:tr>
      <w:tr>
        <w:tc>
          <w:tcPr>
            <w:tcW w:type="dxa" w:w="2160"/>
            <w:shd w:val="clear" w:color="auto" w:fill="F3F4F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Annual Benefit</w:t>
            </w:r>
          </w:p>
        </w:tc>
        <w:tc>
          <w:tcPr>
            <w:tcW w:type="dxa" w:w="1872"/>
            <w:shd w:val="clear" w:color="auto" w:fill="F3F4F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Business case only</w:t>
            </w:r>
          </w:p>
        </w:tc>
        <w:tc>
          <w:tcPr>
            <w:tcW w:type="dxa" w:w="1872"/>
            <w:shd w:val="clear" w:color="auto" w:fill="F3F4F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$700K–$1.2M</w:t>
            </w:r>
          </w:p>
        </w:tc>
        <w:tc>
          <w:tcPr>
            <w:tcW w:type="dxa" w:w="2160"/>
            <w:shd w:val="clear" w:color="auto" w:fill="F3F4F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$4.8–$8M</w:t>
            </w:r>
          </w:p>
        </w:tc>
        <w:tc>
          <w:tcPr>
            <w:tcW w:type="dxa" w:w="1872"/>
            <w:shd w:val="clear" w:color="auto" w:fill="F3F4F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$12–$20M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ROI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2–3×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4–6×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8–12×</w:t>
            </w:r>
          </w:p>
        </w:tc>
      </w:tr>
      <w:tr>
        <w:tc>
          <w:tcPr>
            <w:tcW w:type="dxa" w:w="2160"/>
            <w:shd w:val="clear" w:color="auto" w:fill="F3F4F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Platform Included</w:t>
            </w:r>
          </w:p>
        </w:tc>
        <w:tc>
          <w:tcPr>
            <w:tcW w:type="dxa" w:w="1872"/>
            <w:shd w:val="clear" w:color="auto" w:fill="F3F4F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Yes</w:t>
            </w:r>
          </w:p>
        </w:tc>
        <w:tc>
          <w:tcPr>
            <w:tcW w:type="dxa" w:w="1872"/>
            <w:shd w:val="clear" w:color="auto" w:fill="F3F4F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Yes</w:t>
            </w:r>
          </w:p>
        </w:tc>
        <w:tc>
          <w:tcPr>
            <w:tcW w:type="dxa" w:w="2160"/>
            <w:shd w:val="clear" w:color="auto" w:fill="F3F4F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Yes</w:t>
            </w:r>
          </w:p>
        </w:tc>
        <w:tc>
          <w:tcPr>
            <w:tcW w:type="dxa" w:w="1872"/>
            <w:shd w:val="clear" w:color="auto" w:fill="F3F4F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Yes</w:t>
            </w:r>
          </w:p>
        </w:tc>
      </w:tr>
    </w:tbl>
    <w:p/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