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360"/>
      </w:tblGrid>
      <w:tr>
        <w:tc>
          <w:tcPr>
            <w:tcW w:type="dxa" w:w="9360"/>
            <w:shd w:val="clear" w:color="auto" w:fill="0F2D5E"/>
          </w:tcPr>
          <w:p>
            <w:pPr>
              <w:spacing w:before="400" w:after="120"/>
              <w:jc w:val="center"/>
            </w:pPr>
            <w:r>
              <w:rPr>
                <w:rFonts w:ascii="Calibri" w:hAnsi="Calibri"/>
                <w:b/>
                <w:i w:val="0"/>
                <w:color w:val="FFFFFF"/>
                <w:sz w:val="44"/>
              </w:rPr>
              <w:t>AI-Powered PDLC Transformation</w:t>
            </w:r>
          </w:p>
          <w:p>
            <w:pPr>
              <w:jc w:val="center"/>
            </w:pPr>
            <w:r>
              <w:rPr>
                <w:rFonts w:ascii="Calibri" w:hAnsi="Calibri"/>
                <w:b w:val="0"/>
                <w:i w:val="0"/>
                <w:color w:val="DBEAFE"/>
                <w:sz w:val="26"/>
              </w:rPr>
              <w:t>GTM Pack — Set 1: CXO GTM Pack</w:t>
            </w:r>
          </w:p>
          <w:p>
            <w:pPr>
              <w:spacing w:after="400"/>
              <w:jc w:val="center"/>
            </w:pPr>
            <w:r>
              <w:rPr>
                <w:rFonts w:ascii="Calibri" w:hAnsi="Calibri"/>
                <w:b w:val="0"/>
                <w:i/>
                <w:color w:val="DBEAFE"/>
                <w:sz w:val="22"/>
              </w:rPr>
              <w:t>Document 09 of 10</w:t>
            </w:r>
          </w:p>
        </w:tc>
      </w:tr>
    </w:tbl>
    <w:p/>
    <w:p>
      <w:pPr>
        <w:jc w:val="center"/>
      </w:pPr>
      <w:r>
        <w:rPr>
          <w:rFonts w:ascii="Calibri" w:hAnsi="Calibri"/>
          <w:b/>
          <w:i w:val="0"/>
          <w:color w:val="0F2D5E"/>
          <w:sz w:val="52"/>
        </w:rPr>
        <w:t>Engagement Model Overview</w:t>
      </w:r>
    </w:p>
    <w:p>
      <w:pPr>
        <w:jc w:val="center"/>
      </w:pPr>
      <w:r>
        <w:rPr>
          <w:rFonts w:ascii="Calibri" w:hAnsi="Calibri"/>
          <w:b w:val="0"/>
          <w:i/>
          <w:color w:val="2563EB"/>
          <w:sz w:val="28"/>
        </w:rPr>
        <w:t>Three-Phase Delivery: Diagnose, Design, Deliver</w:t>
      </w:r>
    </w:p>
    <w:p>
      <w:pPr>
        <w:spacing w:before="60" w:after="60"/>
        <w:pBdr>
          <w:bottom w:val="single" w:sz="6" w:space="1" w:color="2563EB"/>
        </w:pBdr>
      </w:pPr>
    </w:p>
    <w:p>
      <w:pPr>
        <w:jc w:val="center"/>
      </w:pPr>
      <w:r>
        <w:rPr>
          <w:rFonts w:ascii="Calibri" w:hAnsi="Calibri"/>
          <w:b w:val="0"/>
          <w:i w:val="0"/>
          <w:color w:val="4B5563"/>
          <w:sz w:val="22"/>
        </w:rPr>
        <w:t>DIAGNOSE · DESIGN · DELIVER · Accelerated by AI</w:t>
      </w:r>
    </w:p>
    <w:p>
      <w:r>
        <w:br w:type="page"/>
      </w:r>
    </w:p>
    <w:p>
      <w:pPr>
        <w:spacing w:before="400" w:after="120"/>
      </w:pPr>
      <w:r>
        <w:rPr>
          <w:rFonts w:ascii="Calibri" w:hAnsi="Calibri"/>
          <w:b/>
          <w:i w:val="0"/>
          <w:color w:val="0F2D5E"/>
          <w:sz w:val="32"/>
        </w:rPr>
        <w:t>Overview: The Three-Phase Engagement Architecture</w:t>
      </w:r>
    </w:p>
    <w:p>
      <w:pPr>
        <w:spacing w:after="80"/>
      </w:pPr>
      <w:r>
        <w:rPr>
          <w:rFonts w:ascii="Calibri" w:hAnsi="Calibri"/>
          <w:b w:val="0"/>
          <w:i w:val="0"/>
          <w:sz w:val="21"/>
        </w:rPr>
        <w:t>The AI-Powered PDLC Transformation engagement is structured in three phases that flow in sequence but overlap at their boundaries. Each phase has a defined scope, deliverable set, and success gate before the next phase begins. The design ensures that every programme starts with evidence, every design is grounded in data, and every delivery is measured against a defined baseline.</w:t>
      </w:r>
    </w:p>
    <w:tbl>
      <w:tblPr>
        <w:tblStyle w:val="TableGrid"/>
        <w:tblW w:type="auto" w:w="0"/>
        <w:tblLook w:firstColumn="1" w:firstRow="1" w:lastColumn="0" w:lastRow="0" w:noHBand="0" w:noVBand="1" w:val="04A0"/>
      </w:tblPr>
      <w:tblGrid>
        <w:gridCol w:w="9360"/>
      </w:tblGrid>
      <w:tr>
        <w:tc>
          <w:tcPr>
            <w:tcW w:type="dxa" w:w="9360"/>
            <w:shd w:val="clear" w:color="auto" w:fill="DBEAFE"/>
          </w:tcPr>
          <w:p>
            <w:r>
              <w:rPr>
                <w:rFonts w:ascii="Calibri" w:hAnsi="Calibri"/>
                <w:b w:val="0"/>
                <w:i/>
                <w:color w:val="0F2D5E"/>
                <w:sz w:val="21"/>
              </w:rPr>
              <w:t>Phase 1 → Phase 2 → Phase 3 is not a waterfall. Phase 2 Design begins in the final 2 weeks of Phase 1 Diagnose, and Phase 3 quick wins begin in the first month of Phase 3 — before the full programme is deployed. The model is designed for momentum, not sequential gating.</w:t>
            </w:r>
          </w:p>
        </w:tc>
      </w:tr>
    </w:tbl>
    <w:p/>
    <w:p>
      <w:pPr>
        <w:spacing w:before="60" w:after="60"/>
        <w:pBdr>
          <w:bottom w:val="single" w:sz="6" w:space="1" w:color="2563EB"/>
        </w:pBdr>
      </w:pPr>
    </w:p>
    <w:p>
      <w:pPr>
        <w:spacing w:before="400" w:after="120"/>
      </w:pPr>
      <w:r>
        <w:rPr>
          <w:rFonts w:ascii="Calibri" w:hAnsi="Calibri"/>
          <w:b/>
          <w:i w:val="0"/>
          <w:color w:val="0F2D5E"/>
          <w:sz w:val="32"/>
        </w:rPr>
        <w:t>Phase 1: DIAGNOSE — 8 Weeks</w:t>
      </w:r>
    </w:p>
    <w:p>
      <w:pPr>
        <w:spacing w:before="240" w:after="80"/>
      </w:pPr>
      <w:r>
        <w:rPr>
          <w:rFonts w:ascii="Calibri" w:hAnsi="Calibri"/>
          <w:b/>
          <w:i w:val="0"/>
          <w:color w:val="2563EB"/>
          <w:sz w:val="26"/>
        </w:rPr>
        <w:t>What Happens</w:t>
      </w:r>
    </w:p>
    <w:tbl>
      <w:tblPr>
        <w:tblStyle w:val="TableGrid"/>
        <w:tblW w:type="auto" w:w="0"/>
        <w:tblLook w:firstColumn="1" w:firstRow="1" w:lastColumn="0" w:lastRow="0" w:noHBand="0" w:noVBand="1" w:val="04A0"/>
      </w:tblPr>
      <w:tblGrid>
        <w:gridCol w:w="2340"/>
        <w:gridCol w:w="2340"/>
        <w:gridCol w:w="2340"/>
        <w:gridCol w:w="2340"/>
      </w:tblGrid>
      <w:tr>
        <w:tc>
          <w:tcPr>
            <w:tcW w:type="dxa" w:w="720"/>
            <w:shd w:val="clear" w:color="auto" w:fill="0F2D5E"/>
          </w:tcPr>
          <w:p>
            <w:r>
              <w:rPr>
                <w:rFonts w:ascii="Calibri" w:hAnsi="Calibri"/>
                <w:b/>
                <w:i w:val="0"/>
                <w:color w:val="FFFFFF"/>
                <w:sz w:val="19"/>
              </w:rPr>
              <w:t>Week</w:t>
            </w:r>
          </w:p>
        </w:tc>
        <w:tc>
          <w:tcPr>
            <w:tcW w:type="dxa" w:w="2592"/>
            <w:shd w:val="clear" w:color="auto" w:fill="0F2D5E"/>
          </w:tcPr>
          <w:p>
            <w:r>
              <w:rPr>
                <w:rFonts w:ascii="Calibri" w:hAnsi="Calibri"/>
                <w:b/>
                <w:i w:val="0"/>
                <w:color w:val="FFFFFF"/>
                <w:sz w:val="19"/>
              </w:rPr>
              <w:t>Activity</w:t>
            </w:r>
          </w:p>
        </w:tc>
        <w:tc>
          <w:tcPr>
            <w:tcW w:type="dxa" w:w="2880"/>
            <w:shd w:val="clear" w:color="auto" w:fill="0F2D5E"/>
          </w:tcPr>
          <w:p>
            <w:r>
              <w:rPr>
                <w:rFonts w:ascii="Calibri" w:hAnsi="Calibri"/>
                <w:b/>
                <w:i w:val="0"/>
                <w:color w:val="FFFFFF"/>
                <w:sz w:val="19"/>
              </w:rPr>
              <w:t>Platform Role</w:t>
            </w:r>
          </w:p>
        </w:tc>
        <w:tc>
          <w:tcPr>
            <w:tcW w:type="dxa" w:w="2880"/>
            <w:shd w:val="clear" w:color="auto" w:fill="0F2D5E"/>
          </w:tcPr>
          <w:p>
            <w:r>
              <w:rPr>
                <w:rFonts w:ascii="Calibri" w:hAnsi="Calibri"/>
                <w:b/>
                <w:i w:val="0"/>
                <w:color w:val="FFFFFF"/>
                <w:sz w:val="19"/>
              </w:rPr>
              <w:t>Client Requirement</w:t>
            </w:r>
          </w:p>
        </w:tc>
      </w:tr>
      <w:tr>
        <w:tc>
          <w:tcPr>
            <w:tcW w:type="dxa" w:w="720"/>
            <w:shd w:val="clear" w:color="auto" w:fill="F3F4F6"/>
          </w:tcPr>
          <w:p>
            <w:r>
              <w:rPr>
                <w:rFonts w:ascii="Calibri" w:hAnsi="Calibri"/>
                <w:b w:val="0"/>
                <w:i w:val="0"/>
                <w:sz w:val="19"/>
              </w:rPr>
              <w:t>1</w:t>
            </w:r>
          </w:p>
        </w:tc>
        <w:tc>
          <w:tcPr>
            <w:tcW w:type="dxa" w:w="2592"/>
            <w:shd w:val="clear" w:color="auto" w:fill="F3F4F6"/>
          </w:tcPr>
          <w:p>
            <w:r>
              <w:rPr>
                <w:rFonts w:ascii="Calibri" w:hAnsi="Calibri"/>
                <w:b w:val="0"/>
                <w:i w:val="0"/>
                <w:sz w:val="19"/>
              </w:rPr>
              <w:t>ALM data connection; historical data extraction; team onboarding</w:t>
            </w:r>
          </w:p>
        </w:tc>
        <w:tc>
          <w:tcPr>
            <w:tcW w:type="dxa" w:w="2880"/>
            <w:shd w:val="clear" w:color="auto" w:fill="F3F4F6"/>
          </w:tcPr>
          <w:p>
            <w:r>
              <w:rPr>
                <w:rFonts w:ascii="Calibri" w:hAnsi="Calibri"/>
                <w:b w:val="0"/>
                <w:i w:val="0"/>
                <w:sz w:val="19"/>
              </w:rPr>
              <w:t>Automated API integration with Jira / ADO / Rally</w:t>
            </w:r>
          </w:p>
        </w:tc>
        <w:tc>
          <w:tcPr>
            <w:tcW w:type="dxa" w:w="2880"/>
            <w:shd w:val="clear" w:color="auto" w:fill="F3F4F6"/>
          </w:tcPr>
          <w:p>
            <w:r>
              <w:rPr>
                <w:rFonts w:ascii="Calibri" w:hAnsi="Calibri"/>
                <w:b w:val="0"/>
                <w:i w:val="0"/>
                <w:sz w:val="19"/>
              </w:rPr>
              <w:t>Provide ALM admin credentials; 2-hour onboarding session</w:t>
            </w:r>
          </w:p>
        </w:tc>
      </w:tr>
      <w:tr>
        <w:tc>
          <w:tcPr>
            <w:tcW w:type="dxa" w:w="720"/>
            <w:shd w:val="clear" w:color="auto" w:fill="FFFFFF"/>
          </w:tcPr>
          <w:p>
            <w:r>
              <w:rPr>
                <w:rFonts w:ascii="Calibri" w:hAnsi="Calibri"/>
                <w:b w:val="0"/>
                <w:i w:val="0"/>
                <w:sz w:val="19"/>
              </w:rPr>
              <w:t>2</w:t>
            </w:r>
          </w:p>
        </w:tc>
        <w:tc>
          <w:tcPr>
            <w:tcW w:type="dxa" w:w="2592"/>
            <w:shd w:val="clear" w:color="auto" w:fill="FFFFFF"/>
          </w:tcPr>
          <w:p>
            <w:r>
              <w:rPr>
                <w:rFonts w:ascii="Calibri" w:hAnsi="Calibri"/>
                <w:b w:val="0"/>
                <w:i w:val="0"/>
                <w:sz w:val="19"/>
              </w:rPr>
              <w:t>Current state VSM generation; preliminary bottleneck identification</w:t>
            </w:r>
          </w:p>
        </w:tc>
        <w:tc>
          <w:tcPr>
            <w:tcW w:type="dxa" w:w="2880"/>
            <w:shd w:val="clear" w:color="auto" w:fill="FFFFFF"/>
          </w:tcPr>
          <w:p>
            <w:r>
              <w:rPr>
                <w:rFonts w:ascii="Calibri" w:hAnsi="Calibri"/>
                <w:b w:val="0"/>
                <w:i w:val="0"/>
                <w:sz w:val="19"/>
              </w:rPr>
              <w:t>AI agents generate VSM from ticket telemetry</w:t>
            </w:r>
          </w:p>
        </w:tc>
        <w:tc>
          <w:tcPr>
            <w:tcW w:type="dxa" w:w="2880"/>
            <w:shd w:val="clear" w:color="auto" w:fill="FFFFFF"/>
          </w:tcPr>
          <w:p>
            <w:r>
              <w:rPr>
                <w:rFonts w:ascii="Calibri" w:hAnsi="Calibri"/>
                <w:b w:val="0"/>
                <w:i w:val="0"/>
                <w:sz w:val="19"/>
              </w:rPr>
              <w:t>Engineering lead review of VSM draft (2 hours)</w:t>
            </w:r>
          </w:p>
        </w:tc>
      </w:tr>
      <w:tr>
        <w:tc>
          <w:tcPr>
            <w:tcW w:type="dxa" w:w="720"/>
            <w:shd w:val="clear" w:color="auto" w:fill="F3F4F6"/>
          </w:tcPr>
          <w:p>
            <w:r>
              <w:rPr>
                <w:rFonts w:ascii="Calibri" w:hAnsi="Calibri"/>
                <w:b w:val="0"/>
                <w:i w:val="0"/>
                <w:sz w:val="19"/>
              </w:rPr>
              <w:t>3–4</w:t>
            </w:r>
          </w:p>
        </w:tc>
        <w:tc>
          <w:tcPr>
            <w:tcW w:type="dxa" w:w="2592"/>
            <w:shd w:val="clear" w:color="auto" w:fill="F3F4F6"/>
          </w:tcPr>
          <w:p>
            <w:r>
              <w:rPr>
                <w:rFonts w:ascii="Calibri" w:hAnsi="Calibri"/>
                <w:b w:val="0"/>
                <w:i w:val="0"/>
                <w:sz w:val="19"/>
              </w:rPr>
              <w:t>Bottleneck deep-dive; speed/productivity/quality quantification; benchmark overlay</w:t>
            </w:r>
          </w:p>
        </w:tc>
        <w:tc>
          <w:tcPr>
            <w:tcW w:type="dxa" w:w="2880"/>
            <w:shd w:val="clear" w:color="auto" w:fill="F3F4F6"/>
          </w:tcPr>
          <w:p>
            <w:r>
              <w:rPr>
                <w:rFonts w:ascii="Calibri" w:hAnsi="Calibri"/>
                <w:b w:val="0"/>
                <w:i w:val="0"/>
                <w:sz w:val="19"/>
              </w:rPr>
              <w:t>AI analysis; benchmark comparison against 500+ FS peers</w:t>
            </w:r>
          </w:p>
        </w:tc>
        <w:tc>
          <w:tcPr>
            <w:tcW w:type="dxa" w:w="2880"/>
            <w:shd w:val="clear" w:color="auto" w:fill="F3F4F6"/>
          </w:tcPr>
          <w:p>
            <w:r>
              <w:rPr>
                <w:rFonts w:ascii="Calibri" w:hAnsi="Calibri"/>
                <w:b w:val="0"/>
                <w:i w:val="0"/>
                <w:sz w:val="19"/>
              </w:rPr>
              <w:t>2 x 90-min workshops with engineering and product leads</w:t>
            </w:r>
          </w:p>
        </w:tc>
      </w:tr>
      <w:tr>
        <w:tc>
          <w:tcPr>
            <w:tcW w:type="dxa" w:w="720"/>
            <w:shd w:val="clear" w:color="auto" w:fill="FFFFFF"/>
          </w:tcPr>
          <w:p>
            <w:r>
              <w:rPr>
                <w:rFonts w:ascii="Calibri" w:hAnsi="Calibri"/>
                <w:b w:val="0"/>
                <w:i w:val="0"/>
                <w:sz w:val="19"/>
              </w:rPr>
              <w:t>5–6</w:t>
            </w:r>
          </w:p>
        </w:tc>
        <w:tc>
          <w:tcPr>
            <w:tcW w:type="dxa" w:w="2592"/>
            <w:shd w:val="clear" w:color="auto" w:fill="FFFFFF"/>
          </w:tcPr>
          <w:p>
            <w:r>
              <w:rPr>
                <w:rFonts w:ascii="Calibri" w:hAnsi="Calibri"/>
                <w:b w:val="0"/>
                <w:i w:val="0"/>
                <w:sz w:val="19"/>
              </w:rPr>
              <w:t>Three-option business case development; ROI modelling; payback and NPV calculation</w:t>
            </w:r>
          </w:p>
        </w:tc>
        <w:tc>
          <w:tcPr>
            <w:tcW w:type="dxa" w:w="2880"/>
            <w:shd w:val="clear" w:color="auto" w:fill="FFFFFF"/>
          </w:tcPr>
          <w:p>
            <w:r>
              <w:rPr>
                <w:rFonts w:ascii="Calibri" w:hAnsi="Calibri"/>
                <w:b w:val="0"/>
                <w:i w:val="0"/>
                <w:sz w:val="19"/>
              </w:rPr>
              <w:t>Financial model generation; scenario analysis</w:t>
            </w:r>
          </w:p>
        </w:tc>
        <w:tc>
          <w:tcPr>
            <w:tcW w:type="dxa" w:w="2880"/>
            <w:shd w:val="clear" w:color="auto" w:fill="FFFFFF"/>
          </w:tcPr>
          <w:p>
            <w:r>
              <w:rPr>
                <w:rFonts w:ascii="Calibri" w:hAnsi="Calibri"/>
                <w:b w:val="0"/>
                <w:i w:val="0"/>
                <w:sz w:val="19"/>
              </w:rPr>
              <w:t>Finance business partner input (4 hours)</w:t>
            </w:r>
          </w:p>
        </w:tc>
      </w:tr>
      <w:tr>
        <w:tc>
          <w:tcPr>
            <w:tcW w:type="dxa" w:w="720"/>
            <w:shd w:val="clear" w:color="auto" w:fill="F3F4F6"/>
          </w:tcPr>
          <w:p>
            <w:r>
              <w:rPr>
                <w:rFonts w:ascii="Calibri" w:hAnsi="Calibri"/>
                <w:b w:val="0"/>
                <w:i w:val="0"/>
                <w:sz w:val="19"/>
              </w:rPr>
              <w:t>7</w:t>
            </w:r>
          </w:p>
        </w:tc>
        <w:tc>
          <w:tcPr>
            <w:tcW w:type="dxa" w:w="2592"/>
            <w:shd w:val="clear" w:color="auto" w:fill="F3F4F6"/>
          </w:tcPr>
          <w:p>
            <w:r>
              <w:rPr>
                <w:rFonts w:ascii="Calibri" w:hAnsi="Calibri"/>
                <w:b w:val="0"/>
                <w:i w:val="0"/>
                <w:sz w:val="19"/>
              </w:rPr>
              <w:t>Executive presentation preparation; board narrative development</w:t>
            </w:r>
          </w:p>
        </w:tc>
        <w:tc>
          <w:tcPr>
            <w:tcW w:type="dxa" w:w="2880"/>
            <w:shd w:val="clear" w:color="auto" w:fill="F3F4F6"/>
          </w:tcPr>
          <w:p>
            <w:r>
              <w:rPr>
                <w:rFonts w:ascii="Calibri" w:hAnsi="Calibri"/>
                <w:b w:val="0"/>
                <w:i w:val="0"/>
                <w:sz w:val="19"/>
              </w:rPr>
              <w:t>Slide generation support; data visualisation</w:t>
            </w:r>
          </w:p>
        </w:tc>
        <w:tc>
          <w:tcPr>
            <w:tcW w:type="dxa" w:w="2880"/>
            <w:shd w:val="clear" w:color="auto" w:fill="F3F4F6"/>
          </w:tcPr>
          <w:p>
            <w:r>
              <w:rPr>
                <w:rFonts w:ascii="Calibri" w:hAnsi="Calibri"/>
                <w:b w:val="0"/>
                <w:i w:val="0"/>
                <w:sz w:val="19"/>
              </w:rPr>
              <w:t>CTO/CFO review of draft presentation (2 hours)</w:t>
            </w:r>
          </w:p>
        </w:tc>
      </w:tr>
      <w:tr>
        <w:tc>
          <w:tcPr>
            <w:tcW w:type="dxa" w:w="720"/>
            <w:shd w:val="clear" w:color="auto" w:fill="FFFFFF"/>
          </w:tcPr>
          <w:p>
            <w:r>
              <w:rPr>
                <w:rFonts w:ascii="Calibri" w:hAnsi="Calibri"/>
                <w:b w:val="0"/>
                <w:i w:val="0"/>
                <w:sz w:val="19"/>
              </w:rPr>
              <w:t>8</w:t>
            </w:r>
          </w:p>
        </w:tc>
        <w:tc>
          <w:tcPr>
            <w:tcW w:type="dxa" w:w="2592"/>
            <w:shd w:val="clear" w:color="auto" w:fill="FFFFFF"/>
          </w:tcPr>
          <w:p>
            <w:r>
              <w:rPr>
                <w:rFonts w:ascii="Calibri" w:hAnsi="Calibri"/>
                <w:b w:val="0"/>
                <w:i w:val="0"/>
                <w:sz w:val="19"/>
              </w:rPr>
              <w:t>Executive presentation and decision session; option selection gate</w:t>
            </w:r>
          </w:p>
        </w:tc>
        <w:tc>
          <w:tcPr>
            <w:tcW w:type="dxa" w:w="2880"/>
            <w:shd w:val="clear" w:color="auto" w:fill="FFFFFF"/>
          </w:tcPr>
          <w:p>
            <w:r>
              <w:rPr>
                <w:rFonts w:ascii="Calibri" w:hAnsi="Calibri"/>
                <w:b w:val="0"/>
                <w:i w:val="0"/>
                <w:sz w:val="19"/>
              </w:rPr>
              <w:t>Live dashboard demonstration</w:t>
            </w:r>
          </w:p>
        </w:tc>
        <w:tc>
          <w:tcPr>
            <w:tcW w:type="dxa" w:w="2880"/>
            <w:shd w:val="clear" w:color="auto" w:fill="FFFFFF"/>
          </w:tcPr>
          <w:p>
            <w:r>
              <w:rPr>
                <w:rFonts w:ascii="Calibri" w:hAnsi="Calibri"/>
                <w:b w:val="0"/>
                <w:i w:val="0"/>
                <w:sz w:val="19"/>
              </w:rPr>
              <w:t>Full leadership team (CTO, CFO, CRO minimum)</w:t>
            </w:r>
          </w:p>
        </w:tc>
      </w:tr>
    </w:tbl>
    <w:p/>
    <w:p>
      <w:pPr>
        <w:spacing w:before="240" w:after="80"/>
      </w:pPr>
      <w:r>
        <w:rPr>
          <w:rFonts w:ascii="Calibri" w:hAnsi="Calibri"/>
          <w:b/>
          <w:i w:val="0"/>
          <w:color w:val="2563EB"/>
          <w:sz w:val="26"/>
        </w:rPr>
        <w:t>Phase 1 Deliverables</w:t>
      </w:r>
    </w:p>
    <w:p>
      <w:pPr>
        <w:pStyle w:val="ListBullet"/>
        <w:spacing w:after="40"/>
        <w:ind w:left="432"/>
      </w:pPr>
      <w:r>
        <w:rPr>
          <w:rFonts w:ascii="Calibri" w:hAnsi="Calibri"/>
          <w:b w:val="0"/>
          <w:i w:val="0"/>
          <w:sz w:val="21"/>
        </w:rPr>
        <w:t>Current State VSM (visual + data export) — the single source of truth for the transformation</w:t>
      </w:r>
    </w:p>
    <w:p>
      <w:pPr>
        <w:pStyle w:val="ListBullet"/>
        <w:spacing w:after="40"/>
        <w:ind w:left="432"/>
      </w:pPr>
      <w:r>
        <w:rPr>
          <w:rFonts w:ascii="Calibri" w:hAnsi="Calibri"/>
          <w:b w:val="0"/>
          <w:i w:val="0"/>
          <w:sz w:val="21"/>
        </w:rPr>
        <w:t>Bottleneck Register — prioritised list with cost impact per bottleneck</w:t>
      </w:r>
    </w:p>
    <w:p>
      <w:pPr>
        <w:pStyle w:val="ListBullet"/>
        <w:spacing w:after="40"/>
        <w:ind w:left="432"/>
      </w:pPr>
      <w:r>
        <w:rPr>
          <w:rFonts w:ascii="Calibri" w:hAnsi="Calibri"/>
          <w:b w:val="0"/>
          <w:i w:val="0"/>
          <w:sz w:val="21"/>
        </w:rPr>
        <w:t>Speed / Productivity / Quality Dashboard — benchmarked against sector peers</w:t>
      </w:r>
    </w:p>
    <w:p>
      <w:pPr>
        <w:pStyle w:val="ListBullet"/>
        <w:spacing w:after="40"/>
        <w:ind w:left="432"/>
      </w:pPr>
      <w:r>
        <w:rPr>
          <w:rFonts w:ascii="Calibri" w:hAnsi="Calibri"/>
          <w:b w:val="0"/>
          <w:i w:val="0"/>
          <w:sz w:val="21"/>
        </w:rPr>
        <w:t>Three-Option Business Case — investment, benefit, ROI, payback, NPV for each option</w:t>
      </w:r>
    </w:p>
    <w:p>
      <w:pPr>
        <w:pStyle w:val="ListBullet"/>
        <w:spacing w:after="40"/>
        <w:ind w:left="432"/>
      </w:pPr>
      <w:r>
        <w:rPr>
          <w:rFonts w:ascii="Calibri" w:hAnsi="Calibri"/>
          <w:b w:val="0"/>
          <w:i w:val="0"/>
          <w:sz w:val="21"/>
        </w:rPr>
        <w:t>Executive Presentation — board-ready summary with recommendation</w:t>
      </w:r>
    </w:p>
    <w:p>
      <w:pPr>
        <w:pStyle w:val="ListBullet"/>
        <w:spacing w:after="40"/>
        <w:ind w:left="432"/>
      </w:pPr>
      <w:r>
        <w:rPr>
          <w:rFonts w:ascii="Calibri" w:hAnsi="Calibri"/>
          <w:b w:val="0"/>
          <w:i w:val="0"/>
          <w:sz w:val="21"/>
        </w:rPr>
        <w:t>Phase 1 Sign-Off Gate — leadership team agreement on which option to proceed with</w:t>
      </w:r>
    </w:p>
    <w:p>
      <w:pPr>
        <w:spacing w:before="240" w:after="80"/>
      </w:pPr>
      <w:r>
        <w:rPr>
          <w:rFonts w:ascii="Calibri" w:hAnsi="Calibri"/>
          <w:b/>
          <w:i w:val="0"/>
          <w:color w:val="2563EB"/>
          <w:sz w:val="26"/>
        </w:rPr>
        <w:t>What 'Success' Looks Like at the Phase 1 Gate</w:t>
      </w:r>
    </w:p>
    <w:tbl>
      <w:tblPr>
        <w:tblStyle w:val="TableGrid"/>
        <w:tblW w:type="auto" w:w="0"/>
        <w:tblLook w:firstColumn="1" w:firstRow="1" w:lastColumn="0" w:lastRow="0" w:noHBand="0" w:noVBand="1" w:val="04A0"/>
      </w:tblPr>
      <w:tblGrid>
        <w:gridCol w:w="9360"/>
      </w:tblGrid>
      <w:tr>
        <w:tc>
          <w:tcPr>
            <w:tcW w:type="dxa" w:w="9360"/>
            <w:shd w:val="clear" w:color="auto" w:fill="DBEAFE"/>
          </w:tcPr>
          <w:p>
            <w:r>
              <w:rPr>
                <w:rFonts w:ascii="Calibri" w:hAnsi="Calibri"/>
                <w:b w:val="0"/>
                <w:i/>
                <w:color w:val="0F2D5E"/>
                <w:sz w:val="21"/>
              </w:rPr>
              <w:t>Success at Phase 1: Leadership team has seen the data, understands the bottleneck cost, has reviewed three credible options with business cases, and has selected an option to proceed with. The CFO has signed off on the investment. The CTO has named a programme owner.</w:t>
            </w:r>
          </w:p>
        </w:tc>
      </w:tr>
    </w:tbl>
    <w:p/>
    <w:p>
      <w:pPr>
        <w:spacing w:before="60" w:after="60"/>
        <w:pBdr>
          <w:bottom w:val="single" w:sz="6" w:space="1" w:color="2563EB"/>
        </w:pBdr>
      </w:pPr>
    </w:p>
    <w:p>
      <w:pPr>
        <w:spacing w:before="400" w:after="120"/>
      </w:pPr>
      <w:r>
        <w:rPr>
          <w:rFonts w:ascii="Calibri" w:hAnsi="Calibri"/>
          <w:b/>
          <w:i w:val="0"/>
          <w:color w:val="0F2D5E"/>
          <w:sz w:val="32"/>
        </w:rPr>
        <w:t>Phase 2: DESIGN — Concurrent With Phase 1 Close</w:t>
      </w:r>
    </w:p>
    <w:p>
      <w:pPr>
        <w:spacing w:before="240" w:after="80"/>
      </w:pPr>
      <w:r>
        <w:rPr>
          <w:rFonts w:ascii="Calibri" w:hAnsi="Calibri"/>
          <w:b/>
          <w:i w:val="0"/>
          <w:color w:val="2563EB"/>
          <w:sz w:val="26"/>
        </w:rPr>
        <w:t>What Happens</w:t>
      </w:r>
    </w:p>
    <w:p>
      <w:pPr>
        <w:spacing w:after="80"/>
      </w:pPr>
      <w:r>
        <w:rPr>
          <w:rFonts w:ascii="Calibri" w:hAnsi="Calibri"/>
          <w:b w:val="0"/>
          <w:i w:val="0"/>
          <w:sz w:val="21"/>
        </w:rPr>
        <w:t>Phase 2 Design begins in Week 6 of Phase 1, running concurrently with business case finalisation. This overlap ensures that when the executive presentation occurs in Week 8, the selected option already has a high-level design in progress — enabling Phase 3 to begin immediately after approval.</w:t>
      </w:r>
    </w:p>
    <w:tbl>
      <w:tblPr>
        <w:tblStyle w:val="TableGrid"/>
        <w:tblW w:type="auto" w:w="0"/>
        <w:tblLook w:firstColumn="1" w:firstRow="1" w:lastColumn="0" w:lastRow="0" w:noHBand="0" w:noVBand="1" w:val="04A0"/>
      </w:tblPr>
      <w:tblGrid>
        <w:gridCol w:w="2340"/>
        <w:gridCol w:w="2340"/>
        <w:gridCol w:w="2340"/>
        <w:gridCol w:w="2340"/>
      </w:tblGrid>
      <w:tr>
        <w:tc>
          <w:tcPr>
            <w:tcW w:type="dxa" w:w="2448"/>
            <w:shd w:val="clear" w:color="auto" w:fill="0F2D5E"/>
          </w:tcPr>
          <w:p>
            <w:r>
              <w:rPr>
                <w:rFonts w:ascii="Calibri" w:hAnsi="Calibri"/>
                <w:b/>
                <w:i w:val="0"/>
                <w:color w:val="FFFFFF"/>
                <w:sz w:val="19"/>
              </w:rPr>
              <w:t>Design Track</w:t>
            </w:r>
          </w:p>
        </w:tc>
        <w:tc>
          <w:tcPr>
            <w:tcW w:type="dxa" w:w="3168"/>
            <w:shd w:val="clear" w:color="auto" w:fill="0F2D5E"/>
          </w:tcPr>
          <w:p>
            <w:r>
              <w:rPr>
                <w:rFonts w:ascii="Calibri" w:hAnsi="Calibri"/>
                <w:b/>
                <w:i w:val="0"/>
                <w:color w:val="FFFFFF"/>
                <w:sz w:val="19"/>
              </w:rPr>
              <w:t>Activity</w:t>
            </w:r>
          </w:p>
        </w:tc>
        <w:tc>
          <w:tcPr>
            <w:tcW w:type="dxa" w:w="1584"/>
            <w:shd w:val="clear" w:color="auto" w:fill="0F2D5E"/>
          </w:tcPr>
          <w:p>
            <w:r>
              <w:rPr>
                <w:rFonts w:ascii="Calibri" w:hAnsi="Calibri"/>
                <w:b/>
                <w:i w:val="0"/>
                <w:color w:val="FFFFFF"/>
                <w:sz w:val="19"/>
              </w:rPr>
              <w:t>Timing</w:t>
            </w:r>
          </w:p>
        </w:tc>
        <w:tc>
          <w:tcPr>
            <w:tcW w:type="dxa" w:w="2592"/>
            <w:shd w:val="clear" w:color="auto" w:fill="0F2D5E"/>
          </w:tcPr>
          <w:p>
            <w:r>
              <w:rPr>
                <w:rFonts w:ascii="Calibri" w:hAnsi="Calibri"/>
                <w:b/>
                <w:i w:val="0"/>
                <w:color w:val="FFFFFF"/>
                <w:sz w:val="19"/>
              </w:rPr>
              <w:t>Owner</w:t>
            </w:r>
          </w:p>
        </w:tc>
      </w:tr>
      <w:tr>
        <w:tc>
          <w:tcPr>
            <w:tcW w:type="dxa" w:w="2448"/>
            <w:shd w:val="clear" w:color="auto" w:fill="F3F4F6"/>
          </w:tcPr>
          <w:p>
            <w:r>
              <w:rPr>
                <w:rFonts w:ascii="Calibri" w:hAnsi="Calibri"/>
                <w:b w:val="0"/>
                <w:i w:val="0"/>
                <w:sz w:val="19"/>
              </w:rPr>
              <w:t>Option Architecture</w:t>
            </w:r>
          </w:p>
        </w:tc>
        <w:tc>
          <w:tcPr>
            <w:tcW w:type="dxa" w:w="3168"/>
            <w:shd w:val="clear" w:color="auto" w:fill="F3F4F6"/>
          </w:tcPr>
          <w:p>
            <w:r>
              <w:rPr>
                <w:rFonts w:ascii="Calibri" w:hAnsi="Calibri"/>
                <w:b w:val="0"/>
                <w:i w:val="0"/>
                <w:sz w:val="19"/>
              </w:rPr>
              <w:t>Design the technical architecture for the selected option; identify AI agents/tools required</w:t>
            </w:r>
          </w:p>
        </w:tc>
        <w:tc>
          <w:tcPr>
            <w:tcW w:type="dxa" w:w="1584"/>
            <w:shd w:val="clear" w:color="auto" w:fill="F3F4F6"/>
          </w:tcPr>
          <w:p>
            <w:r>
              <w:rPr>
                <w:rFonts w:ascii="Calibri" w:hAnsi="Calibri"/>
                <w:b w:val="0"/>
                <w:i w:val="0"/>
                <w:sz w:val="19"/>
              </w:rPr>
              <w:t>Weeks 6–10</w:t>
            </w:r>
          </w:p>
        </w:tc>
        <w:tc>
          <w:tcPr>
            <w:tcW w:type="dxa" w:w="2592"/>
            <w:shd w:val="clear" w:color="auto" w:fill="F3F4F6"/>
          </w:tcPr>
          <w:p>
            <w:r>
              <w:rPr>
                <w:rFonts w:ascii="Calibri" w:hAnsi="Calibri"/>
                <w:b w:val="0"/>
                <w:i w:val="0"/>
                <w:sz w:val="19"/>
              </w:rPr>
              <w:t>Lead architect + CTO</w:t>
            </w:r>
          </w:p>
        </w:tc>
      </w:tr>
      <w:tr>
        <w:tc>
          <w:tcPr>
            <w:tcW w:type="dxa" w:w="2448"/>
            <w:shd w:val="clear" w:color="auto" w:fill="FFFFFF"/>
          </w:tcPr>
          <w:p>
            <w:r>
              <w:rPr>
                <w:rFonts w:ascii="Calibri" w:hAnsi="Calibri"/>
                <w:b w:val="0"/>
                <w:i w:val="0"/>
                <w:sz w:val="19"/>
              </w:rPr>
              <w:t>Governance Design</w:t>
            </w:r>
          </w:p>
        </w:tc>
        <w:tc>
          <w:tcPr>
            <w:tcW w:type="dxa" w:w="3168"/>
            <w:shd w:val="clear" w:color="auto" w:fill="FFFFFF"/>
          </w:tcPr>
          <w:p>
            <w:r>
              <w:rPr>
                <w:rFonts w:ascii="Calibri" w:hAnsi="Calibri"/>
                <w:b w:val="0"/>
                <w:i w:val="0"/>
                <w:sz w:val="19"/>
              </w:rPr>
              <w:t>Define gate structure (Option B); autonomy boundaries; audit requirements (Option C)</w:t>
            </w:r>
          </w:p>
        </w:tc>
        <w:tc>
          <w:tcPr>
            <w:tcW w:type="dxa" w:w="1584"/>
            <w:shd w:val="clear" w:color="auto" w:fill="FFFFFF"/>
          </w:tcPr>
          <w:p>
            <w:r>
              <w:rPr>
                <w:rFonts w:ascii="Calibri" w:hAnsi="Calibri"/>
                <w:b w:val="0"/>
                <w:i w:val="0"/>
                <w:sz w:val="19"/>
              </w:rPr>
              <w:t>Weeks 7–10</w:t>
            </w:r>
          </w:p>
        </w:tc>
        <w:tc>
          <w:tcPr>
            <w:tcW w:type="dxa" w:w="2592"/>
            <w:shd w:val="clear" w:color="auto" w:fill="FFFFFF"/>
          </w:tcPr>
          <w:p>
            <w:r>
              <w:rPr>
                <w:rFonts w:ascii="Calibri" w:hAnsi="Calibri"/>
                <w:b w:val="0"/>
                <w:i w:val="0"/>
                <w:sz w:val="19"/>
              </w:rPr>
              <w:t>Risk lead + CRO</w:t>
            </w:r>
          </w:p>
        </w:tc>
      </w:tr>
      <w:tr>
        <w:tc>
          <w:tcPr>
            <w:tcW w:type="dxa" w:w="2448"/>
            <w:shd w:val="clear" w:color="auto" w:fill="F3F4F6"/>
          </w:tcPr>
          <w:p>
            <w:r>
              <w:rPr>
                <w:rFonts w:ascii="Calibri" w:hAnsi="Calibri"/>
                <w:b w:val="0"/>
                <w:i w:val="0"/>
                <w:sz w:val="19"/>
              </w:rPr>
              <w:t>Transformation Playbook</w:t>
            </w:r>
          </w:p>
        </w:tc>
        <w:tc>
          <w:tcPr>
            <w:tcW w:type="dxa" w:w="3168"/>
            <w:shd w:val="clear" w:color="auto" w:fill="F3F4F6"/>
          </w:tcPr>
          <w:p>
            <w:r>
              <w:rPr>
                <w:rFonts w:ascii="Calibri" w:hAnsi="Calibri"/>
                <w:b w:val="0"/>
                <w:i w:val="0"/>
                <w:sz w:val="19"/>
              </w:rPr>
              <w:t>Detailed implementation plan: sequence, milestones, team responsibilities, dependencies</w:t>
            </w:r>
          </w:p>
        </w:tc>
        <w:tc>
          <w:tcPr>
            <w:tcW w:type="dxa" w:w="1584"/>
            <w:shd w:val="clear" w:color="auto" w:fill="F3F4F6"/>
          </w:tcPr>
          <w:p>
            <w:r>
              <w:rPr>
                <w:rFonts w:ascii="Calibri" w:hAnsi="Calibri"/>
                <w:b w:val="0"/>
                <w:i w:val="0"/>
                <w:sz w:val="19"/>
              </w:rPr>
              <w:t>Weeks 8–12</w:t>
            </w:r>
          </w:p>
        </w:tc>
        <w:tc>
          <w:tcPr>
            <w:tcW w:type="dxa" w:w="2592"/>
            <w:shd w:val="clear" w:color="auto" w:fill="F3F4F6"/>
          </w:tcPr>
          <w:p>
            <w:r>
              <w:rPr>
                <w:rFonts w:ascii="Calibri" w:hAnsi="Calibri"/>
                <w:b w:val="0"/>
                <w:i w:val="0"/>
                <w:sz w:val="19"/>
              </w:rPr>
              <w:t>Programme lead + Engineering</w:t>
            </w:r>
          </w:p>
        </w:tc>
      </w:tr>
      <w:tr>
        <w:tc>
          <w:tcPr>
            <w:tcW w:type="dxa" w:w="2448"/>
            <w:shd w:val="clear" w:color="auto" w:fill="FFFFFF"/>
          </w:tcPr>
          <w:p>
            <w:r>
              <w:rPr>
                <w:rFonts w:ascii="Calibri" w:hAnsi="Calibri"/>
                <w:b w:val="0"/>
                <w:i w:val="0"/>
                <w:sz w:val="19"/>
              </w:rPr>
              <w:t>Change Management Plan</w:t>
            </w:r>
          </w:p>
        </w:tc>
        <w:tc>
          <w:tcPr>
            <w:tcW w:type="dxa" w:w="3168"/>
            <w:shd w:val="clear" w:color="auto" w:fill="FFFFFF"/>
          </w:tcPr>
          <w:p>
            <w:r>
              <w:rPr>
                <w:rFonts w:ascii="Calibri" w:hAnsi="Calibri"/>
                <w:b w:val="0"/>
                <w:i w:val="0"/>
                <w:sz w:val="19"/>
              </w:rPr>
              <w:t>Stakeholder map; change narrative; adoption strategy; training plan</w:t>
            </w:r>
          </w:p>
        </w:tc>
        <w:tc>
          <w:tcPr>
            <w:tcW w:type="dxa" w:w="1584"/>
            <w:shd w:val="clear" w:color="auto" w:fill="FFFFFF"/>
          </w:tcPr>
          <w:p>
            <w:r>
              <w:rPr>
                <w:rFonts w:ascii="Calibri" w:hAnsi="Calibri"/>
                <w:b w:val="0"/>
                <w:i w:val="0"/>
                <w:sz w:val="19"/>
              </w:rPr>
              <w:t>Weeks 8–12</w:t>
            </w:r>
          </w:p>
        </w:tc>
        <w:tc>
          <w:tcPr>
            <w:tcW w:type="dxa" w:w="2592"/>
            <w:shd w:val="clear" w:color="auto" w:fill="FFFFFF"/>
          </w:tcPr>
          <w:p>
            <w:r>
              <w:rPr>
                <w:rFonts w:ascii="Calibri" w:hAnsi="Calibri"/>
                <w:b w:val="0"/>
                <w:i w:val="0"/>
                <w:sz w:val="19"/>
              </w:rPr>
              <w:t>Change lead + HR</w:t>
            </w:r>
          </w:p>
        </w:tc>
      </w:tr>
      <w:tr>
        <w:tc>
          <w:tcPr>
            <w:tcW w:type="dxa" w:w="2448"/>
            <w:shd w:val="clear" w:color="auto" w:fill="F3F4F6"/>
          </w:tcPr>
          <w:p>
            <w:r>
              <w:rPr>
                <w:rFonts w:ascii="Calibri" w:hAnsi="Calibri"/>
                <w:b w:val="0"/>
                <w:i w:val="0"/>
                <w:sz w:val="19"/>
              </w:rPr>
              <w:t>Benefits Tracking Framework</w:t>
            </w:r>
          </w:p>
        </w:tc>
        <w:tc>
          <w:tcPr>
            <w:tcW w:type="dxa" w:w="3168"/>
            <w:shd w:val="clear" w:color="auto" w:fill="F3F4F6"/>
          </w:tcPr>
          <w:p>
            <w:r>
              <w:rPr>
                <w:rFonts w:ascii="Calibri" w:hAnsi="Calibri"/>
                <w:b w:val="0"/>
                <w:i w:val="0"/>
                <w:sz w:val="19"/>
              </w:rPr>
              <w:t>Define KPIs; measurement cadence; reporting format; board reporting template</w:t>
            </w:r>
          </w:p>
        </w:tc>
        <w:tc>
          <w:tcPr>
            <w:tcW w:type="dxa" w:w="1584"/>
            <w:shd w:val="clear" w:color="auto" w:fill="F3F4F6"/>
          </w:tcPr>
          <w:p>
            <w:r>
              <w:rPr>
                <w:rFonts w:ascii="Calibri" w:hAnsi="Calibri"/>
                <w:b w:val="0"/>
                <w:i w:val="0"/>
                <w:sz w:val="19"/>
              </w:rPr>
              <w:t>Weeks 9–12</w:t>
            </w:r>
          </w:p>
        </w:tc>
        <w:tc>
          <w:tcPr>
            <w:tcW w:type="dxa" w:w="2592"/>
            <w:shd w:val="clear" w:color="auto" w:fill="F3F4F6"/>
          </w:tcPr>
          <w:p>
            <w:r>
              <w:rPr>
                <w:rFonts w:ascii="Calibri" w:hAnsi="Calibri"/>
                <w:b w:val="0"/>
                <w:i w:val="0"/>
                <w:sz w:val="19"/>
              </w:rPr>
              <w:t>Analytics lead + Finance</w:t>
            </w:r>
          </w:p>
        </w:tc>
      </w:tr>
    </w:tbl>
    <w:p/>
    <w:p>
      <w:pPr>
        <w:spacing w:before="240" w:after="80"/>
      </w:pPr>
      <w:r>
        <w:rPr>
          <w:rFonts w:ascii="Calibri" w:hAnsi="Calibri"/>
          <w:b/>
          <w:i w:val="0"/>
          <w:color w:val="2563EB"/>
          <w:sz w:val="26"/>
        </w:rPr>
        <w:t>Phase 2 Deliverables</w:t>
      </w:r>
    </w:p>
    <w:p>
      <w:pPr>
        <w:pStyle w:val="ListBullet"/>
        <w:spacing w:after="40"/>
        <w:ind w:left="432"/>
      </w:pPr>
      <w:r>
        <w:rPr>
          <w:rFonts w:ascii="Calibri" w:hAnsi="Calibri"/>
          <w:b w:val="0"/>
          <w:i w:val="0"/>
          <w:sz w:val="21"/>
        </w:rPr>
        <w:t>Option Design Document — detailed architecture, agent configuration, integration design</w:t>
      </w:r>
    </w:p>
    <w:p>
      <w:pPr>
        <w:pStyle w:val="ListBullet"/>
        <w:spacing w:after="40"/>
        <w:ind w:left="432"/>
      </w:pPr>
      <w:r>
        <w:rPr>
          <w:rFonts w:ascii="Calibri" w:hAnsi="Calibri"/>
          <w:b w:val="0"/>
          <w:i w:val="0"/>
          <w:sz w:val="21"/>
        </w:rPr>
        <w:t>Governance Framework — gate definitions, approval workflows, audit trail specification</w:t>
      </w:r>
    </w:p>
    <w:p>
      <w:pPr>
        <w:pStyle w:val="ListBullet"/>
        <w:spacing w:after="40"/>
        <w:ind w:left="432"/>
      </w:pPr>
      <w:r>
        <w:rPr>
          <w:rFonts w:ascii="Calibri" w:hAnsi="Calibri"/>
          <w:b w:val="0"/>
          <w:i w:val="0"/>
          <w:sz w:val="21"/>
        </w:rPr>
        <w:t>Implementation Playbook — phased plan with milestones, owners, and dependencies</w:t>
      </w:r>
    </w:p>
    <w:p>
      <w:pPr>
        <w:pStyle w:val="ListBullet"/>
        <w:spacing w:after="40"/>
        <w:ind w:left="432"/>
      </w:pPr>
      <w:r>
        <w:rPr>
          <w:rFonts w:ascii="Calibri" w:hAnsi="Calibri"/>
          <w:b w:val="0"/>
          <w:i w:val="0"/>
          <w:sz w:val="21"/>
        </w:rPr>
        <w:t>Change Management Plan — adoption strategy, stakeholder engagement, training schedule</w:t>
      </w:r>
    </w:p>
    <w:p>
      <w:pPr>
        <w:pStyle w:val="ListBullet"/>
        <w:spacing w:after="40"/>
        <w:ind w:left="432"/>
      </w:pPr>
      <w:r>
        <w:rPr>
          <w:rFonts w:ascii="Calibri" w:hAnsi="Calibri"/>
          <w:b w:val="0"/>
          <w:i w:val="0"/>
          <w:sz w:val="21"/>
        </w:rPr>
        <w:t>Benefits Tracking Framework — KPIs, measurement cadence, board reporting template</w:t>
      </w:r>
    </w:p>
    <w:p>
      <w:pPr>
        <w:pStyle w:val="ListBullet"/>
        <w:spacing w:after="40"/>
        <w:ind w:left="432"/>
      </w:pPr>
      <w:r>
        <w:rPr>
          <w:rFonts w:ascii="Calibri" w:hAnsi="Calibri"/>
          <w:b w:val="0"/>
          <w:i w:val="0"/>
          <w:sz w:val="21"/>
        </w:rPr>
        <w:t>Phase 2 Sign-Off Gate — leadership team review and approval of playbook before Phase 3 kickoff</w:t>
      </w:r>
    </w:p>
    <w:p>
      <w:pPr>
        <w:spacing w:before="240" w:after="80"/>
      </w:pPr>
      <w:r>
        <w:rPr>
          <w:rFonts w:ascii="Calibri" w:hAnsi="Calibri"/>
          <w:b/>
          <w:i w:val="0"/>
          <w:color w:val="2563EB"/>
          <w:sz w:val="26"/>
        </w:rPr>
        <w:t>What 'Success' Looks Like at the Phase 2 Gate</w:t>
      </w:r>
    </w:p>
    <w:tbl>
      <w:tblPr>
        <w:tblStyle w:val="TableGrid"/>
        <w:tblW w:type="auto" w:w="0"/>
        <w:tblLook w:firstColumn="1" w:firstRow="1" w:lastColumn="0" w:lastRow="0" w:noHBand="0" w:noVBand="1" w:val="04A0"/>
      </w:tblPr>
      <w:tblGrid>
        <w:gridCol w:w="9360"/>
      </w:tblGrid>
      <w:tr>
        <w:tc>
          <w:tcPr>
            <w:tcW w:type="dxa" w:w="9360"/>
            <w:shd w:val="clear" w:color="auto" w:fill="DBEAFE"/>
          </w:tcPr>
          <w:p>
            <w:r>
              <w:rPr>
                <w:rFonts w:ascii="Calibri" w:hAnsi="Calibri"/>
                <w:b w:val="0"/>
                <w:i/>
                <w:color w:val="0F2D5E"/>
                <w:sz w:val="21"/>
              </w:rPr>
              <w:t>Success at Phase 2: The organisation has a clear, detailed plan for Phase 3. Every stakeholder knows their role. The governance model is agreed. The first 90-day quick wins are identified and resourced. The measurement framework is live. Phase 3 can begin immediately.</w:t>
            </w:r>
          </w:p>
        </w:tc>
      </w:tr>
    </w:tbl>
    <w:p/>
    <w:p>
      <w:pPr>
        <w:spacing w:before="60" w:after="60"/>
        <w:pBdr>
          <w:bottom w:val="single" w:sz="6" w:space="1" w:color="2563EB"/>
        </w:pBdr>
      </w:pPr>
    </w:p>
    <w:p>
      <w:pPr>
        <w:spacing w:before="400" w:after="120"/>
      </w:pPr>
      <w:r>
        <w:rPr>
          <w:rFonts w:ascii="Calibri" w:hAnsi="Calibri"/>
          <w:b/>
          <w:i w:val="0"/>
          <w:color w:val="0F2D5E"/>
          <w:sz w:val="32"/>
        </w:rPr>
        <w:t>Phase 3: DELIVER — Option-Specific Timeline</w:t>
      </w:r>
    </w:p>
    <w:p>
      <w:pPr>
        <w:spacing w:before="240" w:after="80"/>
      </w:pPr>
      <w:r>
        <w:rPr>
          <w:rFonts w:ascii="Calibri" w:hAnsi="Calibri"/>
          <w:b/>
          <w:i w:val="0"/>
          <w:color w:val="2563EB"/>
          <w:sz w:val="26"/>
        </w:rPr>
        <w:t>The Three Delivery Horizons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584"/>
            <w:shd w:val="clear" w:color="auto" w:fill="0F2D5E"/>
          </w:tcPr>
          <w:p>
            <w:r>
              <w:rPr>
                <w:rFonts w:ascii="Calibri" w:hAnsi="Calibri"/>
                <w:b/>
                <w:i w:val="0"/>
                <w:color w:val="FFFFFF"/>
                <w:sz w:val="19"/>
              </w:rPr>
              <w:t>Horizon</w:t>
            </w:r>
          </w:p>
        </w:tc>
        <w:tc>
          <w:tcPr>
            <w:tcW w:type="dxa" w:w="1584"/>
            <w:shd w:val="clear" w:color="auto" w:fill="0F2D5E"/>
          </w:tcPr>
          <w:p>
            <w:r>
              <w:rPr>
                <w:rFonts w:ascii="Calibri" w:hAnsi="Calibri"/>
                <w:b/>
                <w:i w:val="0"/>
                <w:color w:val="FFFFFF"/>
                <w:sz w:val="19"/>
              </w:rPr>
              <w:t>Timeline</w:t>
            </w:r>
          </w:p>
        </w:tc>
        <w:tc>
          <w:tcPr>
            <w:tcW w:type="dxa" w:w="2160"/>
            <w:shd w:val="clear" w:color="auto" w:fill="0F2D5E"/>
          </w:tcPr>
          <w:p>
            <w:r>
              <w:rPr>
                <w:rFonts w:ascii="Calibri" w:hAnsi="Calibri"/>
                <w:b/>
                <w:i w:val="0"/>
                <w:color w:val="FFFFFF"/>
                <w:sz w:val="19"/>
              </w:rPr>
              <w:t>Option A</w:t>
            </w:r>
          </w:p>
        </w:tc>
        <w:tc>
          <w:tcPr>
            <w:tcW w:type="dxa" w:w="2448"/>
            <w:shd w:val="clear" w:color="auto" w:fill="0F2D5E"/>
          </w:tcPr>
          <w:p>
            <w:r>
              <w:rPr>
                <w:rFonts w:ascii="Calibri" w:hAnsi="Calibri"/>
                <w:b/>
                <w:i w:val="0"/>
                <w:color w:val="FFFFFF"/>
                <w:sz w:val="19"/>
              </w:rPr>
              <w:t>Option B</w:t>
            </w:r>
          </w:p>
        </w:tc>
        <w:tc>
          <w:tcPr>
            <w:tcW w:type="dxa" w:w="2592"/>
            <w:shd w:val="clear" w:color="auto" w:fill="0F2D5E"/>
          </w:tcPr>
          <w:p>
            <w:r>
              <w:rPr>
                <w:rFonts w:ascii="Calibri" w:hAnsi="Calibri"/>
                <w:b/>
                <w:i w:val="0"/>
                <w:color w:val="FFFFFF"/>
                <w:sz w:val="19"/>
              </w:rPr>
              <w:t>Option C</w:t>
            </w:r>
          </w:p>
        </w:tc>
      </w:tr>
      <w:tr>
        <w:tc>
          <w:tcPr>
            <w:tcW w:type="dxa" w:w="1584"/>
            <w:shd w:val="clear" w:color="auto" w:fill="F3F4F6"/>
          </w:tcPr>
          <w:p>
            <w:r>
              <w:rPr>
                <w:rFonts w:ascii="Calibri" w:hAnsi="Calibri"/>
                <w:b w:val="0"/>
                <w:i w:val="0"/>
                <w:sz w:val="19"/>
              </w:rPr>
              <w:t>H1: Quick Wins</w:t>
            </w:r>
          </w:p>
        </w:tc>
        <w:tc>
          <w:tcPr>
            <w:tcW w:type="dxa" w:w="1584"/>
            <w:shd w:val="clear" w:color="auto" w:fill="F3F4F6"/>
          </w:tcPr>
          <w:p>
            <w:r>
              <w:rPr>
                <w:rFonts w:ascii="Calibri" w:hAnsi="Calibri"/>
                <w:b w:val="0"/>
                <w:i w:val="0"/>
                <w:sz w:val="19"/>
              </w:rPr>
              <w:t>Months 1–3</w:t>
            </w:r>
          </w:p>
        </w:tc>
        <w:tc>
          <w:tcPr>
            <w:tcW w:type="dxa" w:w="2160"/>
            <w:shd w:val="clear" w:color="auto" w:fill="F3F4F6"/>
          </w:tcPr>
          <w:p>
            <w:r>
              <w:rPr>
                <w:rFonts w:ascii="Calibri" w:hAnsi="Calibri"/>
                <w:b w:val="0"/>
                <w:i w:val="0"/>
                <w:sz w:val="19"/>
              </w:rPr>
              <w:t>AI tools at 2 top bottlenecks; 15% LT reduction</w:t>
            </w:r>
          </w:p>
        </w:tc>
        <w:tc>
          <w:tcPr>
            <w:tcW w:type="dxa" w:w="2448"/>
            <w:shd w:val="clear" w:color="auto" w:fill="F3F4F6"/>
          </w:tcPr>
          <w:p>
            <w:r>
              <w:rPr>
                <w:rFonts w:ascii="Calibri" w:hAnsi="Calibri"/>
                <w:b w:val="0"/>
                <w:i w:val="0"/>
                <w:sz w:val="19"/>
              </w:rPr>
              <w:t>AI agents at top 2 steps; gates configured; 20% LT reduction</w:t>
            </w:r>
          </w:p>
        </w:tc>
        <w:tc>
          <w:tcPr>
            <w:tcW w:type="dxa" w:w="2592"/>
            <w:shd w:val="clear" w:color="auto" w:fill="F3F4F6"/>
          </w:tcPr>
          <w:p>
            <w:r>
              <w:rPr>
                <w:rFonts w:ascii="Calibri" w:hAnsi="Calibri"/>
                <w:b w:val="0"/>
                <w:i w:val="0"/>
                <w:sz w:val="19"/>
              </w:rPr>
              <w:t>Autonomous pipeline for 1 product team; 25% LT reduction</w:t>
            </w:r>
          </w:p>
        </w:tc>
      </w:tr>
      <w:tr>
        <w:tc>
          <w:tcPr>
            <w:tcW w:type="dxa" w:w="1584"/>
            <w:shd w:val="clear" w:color="auto" w:fill="FFFFFF"/>
          </w:tcPr>
          <w:p>
            <w:r>
              <w:rPr>
                <w:rFonts w:ascii="Calibri" w:hAnsi="Calibri"/>
                <w:b w:val="0"/>
                <w:i w:val="0"/>
                <w:sz w:val="19"/>
              </w:rPr>
              <w:t>H2: Core</w:t>
            </w:r>
          </w:p>
        </w:tc>
        <w:tc>
          <w:tcPr>
            <w:tcW w:type="dxa" w:w="1584"/>
            <w:shd w:val="clear" w:color="auto" w:fill="FFFFFF"/>
          </w:tcPr>
          <w:p>
            <w:r>
              <w:rPr>
                <w:rFonts w:ascii="Calibri" w:hAnsi="Calibri"/>
                <w:b w:val="0"/>
                <w:i w:val="0"/>
                <w:sz w:val="19"/>
              </w:rPr>
              <w:t>Months 4–12</w:t>
            </w:r>
          </w:p>
        </w:tc>
        <w:tc>
          <w:tcPr>
            <w:tcW w:type="dxa" w:w="2160"/>
            <w:shd w:val="clear" w:color="auto" w:fill="FFFFFF"/>
          </w:tcPr>
          <w:p>
            <w:r>
              <w:rPr>
                <w:rFonts w:ascii="Calibri" w:hAnsi="Calibri"/>
                <w:b w:val="0"/>
                <w:i w:val="0"/>
                <w:sz w:val="19"/>
              </w:rPr>
              <w:t>AI tools across all steps; coaching programme</w:t>
            </w:r>
          </w:p>
        </w:tc>
        <w:tc>
          <w:tcPr>
            <w:tcW w:type="dxa" w:w="2448"/>
            <w:shd w:val="clear" w:color="auto" w:fill="FFFFFF"/>
          </w:tcPr>
          <w:p>
            <w:r>
              <w:rPr>
                <w:rFonts w:ascii="Calibri" w:hAnsi="Calibri"/>
                <w:b w:val="0"/>
                <w:i w:val="0"/>
                <w:sz w:val="19"/>
              </w:rPr>
              <w:t>AI agents across 5 steps; all gates live; measurement running</w:t>
            </w:r>
          </w:p>
        </w:tc>
        <w:tc>
          <w:tcPr>
            <w:tcW w:type="dxa" w:w="2592"/>
            <w:shd w:val="clear" w:color="auto" w:fill="FFFFFF"/>
          </w:tcPr>
          <w:p>
            <w:r>
              <w:rPr>
                <w:rFonts w:ascii="Calibri" w:hAnsi="Calibri"/>
                <w:b w:val="0"/>
                <w:i w:val="0"/>
                <w:sz w:val="19"/>
              </w:rPr>
              <w:t>Full autonomous pipeline; human-above governance deployed</w:t>
            </w:r>
          </w:p>
        </w:tc>
      </w:tr>
      <w:tr>
        <w:tc>
          <w:tcPr>
            <w:tcW w:type="dxa" w:w="1584"/>
            <w:shd w:val="clear" w:color="auto" w:fill="F3F4F6"/>
          </w:tcPr>
          <w:p>
            <w:r>
              <w:rPr>
                <w:rFonts w:ascii="Calibri" w:hAnsi="Calibri"/>
                <w:b w:val="0"/>
                <w:i w:val="0"/>
                <w:sz w:val="19"/>
              </w:rPr>
              <w:t>H3: Scale &amp; Optimise</w:t>
            </w:r>
          </w:p>
        </w:tc>
        <w:tc>
          <w:tcPr>
            <w:tcW w:type="dxa" w:w="1584"/>
            <w:shd w:val="clear" w:color="auto" w:fill="F3F4F6"/>
          </w:tcPr>
          <w:p>
            <w:r>
              <w:rPr>
                <w:rFonts w:ascii="Calibri" w:hAnsi="Calibri"/>
                <w:b w:val="0"/>
                <w:i w:val="0"/>
                <w:sz w:val="19"/>
              </w:rPr>
              <w:t>Months 13–24+</w:t>
            </w:r>
          </w:p>
        </w:tc>
        <w:tc>
          <w:tcPr>
            <w:tcW w:type="dxa" w:w="2160"/>
            <w:shd w:val="clear" w:color="auto" w:fill="F3F4F6"/>
          </w:tcPr>
          <w:p>
            <w:r>
              <w:rPr>
                <w:rFonts w:ascii="Calibri" w:hAnsi="Calibri"/>
                <w:b w:val="0"/>
                <w:i w:val="0"/>
                <w:sz w:val="19"/>
              </w:rPr>
              <w:t>Extend to 2–3 additional teams; measure + tune</w:t>
            </w:r>
          </w:p>
        </w:tc>
        <w:tc>
          <w:tcPr>
            <w:tcW w:type="dxa" w:w="2448"/>
            <w:shd w:val="clear" w:color="auto" w:fill="F3F4F6"/>
          </w:tcPr>
          <w:p>
            <w:r>
              <w:rPr>
                <w:rFonts w:ascii="Calibri" w:hAnsi="Calibri"/>
                <w:b w:val="0"/>
                <w:i w:val="0"/>
                <w:sz w:val="19"/>
              </w:rPr>
              <w:t>Scale to additional teams; optimise agent performance</w:t>
            </w:r>
          </w:p>
        </w:tc>
        <w:tc>
          <w:tcPr>
            <w:tcW w:type="dxa" w:w="2592"/>
            <w:shd w:val="clear" w:color="auto" w:fill="F3F4F6"/>
          </w:tcPr>
          <w:p>
            <w:r>
              <w:rPr>
                <w:rFonts w:ascii="Calibri" w:hAnsi="Calibri"/>
                <w:b w:val="0"/>
                <w:i w:val="0"/>
                <w:sz w:val="19"/>
              </w:rPr>
              <w:t>Scale to org-wide; prepare Option C extension path</w:t>
            </w:r>
          </w:p>
        </w:tc>
      </w:tr>
    </w:tbl>
    <w:p/>
    <w:p>
      <w:pPr>
        <w:spacing w:before="240" w:after="80"/>
      </w:pPr>
      <w:r>
        <w:rPr>
          <w:rFonts w:ascii="Calibri" w:hAnsi="Calibri"/>
          <w:b/>
          <w:i w:val="0"/>
          <w:color w:val="2563EB"/>
          <w:sz w:val="26"/>
        </w:rPr>
        <w:t>Platform Role in Each Phase</w:t>
      </w:r>
    </w:p>
    <w:tbl>
      <w:tblPr>
        <w:tblStyle w:val="TableGrid"/>
        <w:tblW w:type="auto" w:w="0"/>
        <w:tblLook w:firstColumn="1" w:firstRow="1" w:lastColumn="0" w:lastRow="0" w:noHBand="0" w:noVBand="1" w:val="04A0"/>
      </w:tblPr>
      <w:tblGrid>
        <w:gridCol w:w="3120"/>
        <w:gridCol w:w="3120"/>
        <w:gridCol w:w="3120"/>
      </w:tblGrid>
      <w:tr>
        <w:tc>
          <w:tcPr>
            <w:tcW w:type="dxa" w:w="1872"/>
            <w:shd w:val="clear" w:color="auto" w:fill="0F2D5E"/>
          </w:tcPr>
          <w:p>
            <w:r>
              <w:rPr>
                <w:rFonts w:ascii="Calibri" w:hAnsi="Calibri"/>
                <w:b/>
                <w:i w:val="0"/>
                <w:color w:val="FFFFFF"/>
                <w:sz w:val="19"/>
              </w:rPr>
              <w:t>Phase</w:t>
            </w:r>
          </w:p>
        </w:tc>
        <w:tc>
          <w:tcPr>
            <w:tcW w:type="dxa" w:w="4032"/>
            <w:shd w:val="clear" w:color="auto" w:fill="0F2D5E"/>
          </w:tcPr>
          <w:p>
            <w:r>
              <w:rPr>
                <w:rFonts w:ascii="Calibri" w:hAnsi="Calibri"/>
                <w:b/>
                <w:i w:val="0"/>
                <w:color w:val="FFFFFF"/>
                <w:sz w:val="19"/>
              </w:rPr>
              <w:t>Platform Function</w:t>
            </w:r>
          </w:p>
        </w:tc>
        <w:tc>
          <w:tcPr>
            <w:tcW w:type="dxa" w:w="3024"/>
            <w:shd w:val="clear" w:color="auto" w:fill="0F2D5E"/>
          </w:tcPr>
          <w:p>
            <w:r>
              <w:rPr>
                <w:rFonts w:ascii="Calibri" w:hAnsi="Calibri"/>
                <w:b/>
                <w:i w:val="0"/>
                <w:color w:val="FFFFFF"/>
                <w:sz w:val="19"/>
              </w:rPr>
              <w:t>Value Delivered</w:t>
            </w:r>
          </w:p>
        </w:tc>
      </w:tr>
      <w:tr>
        <w:tc>
          <w:tcPr>
            <w:tcW w:type="dxa" w:w="1872"/>
            <w:shd w:val="clear" w:color="auto" w:fill="F3F4F6"/>
          </w:tcPr>
          <w:p>
            <w:r>
              <w:rPr>
                <w:rFonts w:ascii="Calibri" w:hAnsi="Calibri"/>
                <w:b w:val="0"/>
                <w:i w:val="0"/>
                <w:sz w:val="19"/>
              </w:rPr>
              <w:t>Phase 1 Diagnose</w:t>
            </w:r>
          </w:p>
        </w:tc>
        <w:tc>
          <w:tcPr>
            <w:tcW w:type="dxa" w:w="4032"/>
            <w:shd w:val="clear" w:color="auto" w:fill="F3F4F6"/>
          </w:tcPr>
          <w:p>
            <w:r>
              <w:rPr>
                <w:rFonts w:ascii="Calibri" w:hAnsi="Calibri"/>
                <w:b w:val="0"/>
                <w:i w:val="0"/>
                <w:sz w:val="19"/>
              </w:rPr>
              <w:t>ALM data extraction; AI-generated VSM; bottleneck analysis; benchmark overlay; business case generation</w:t>
            </w:r>
          </w:p>
        </w:tc>
        <w:tc>
          <w:tcPr>
            <w:tcW w:type="dxa" w:w="3024"/>
            <w:shd w:val="clear" w:color="auto" w:fill="F3F4F6"/>
          </w:tcPr>
          <w:p>
            <w:r>
              <w:rPr>
                <w:rFonts w:ascii="Calibri" w:hAnsi="Calibri"/>
                <w:b w:val="0"/>
                <w:i w:val="0"/>
                <w:sz w:val="19"/>
              </w:rPr>
              <w:t>3-month process in 2 weeks; evidence-based baseline; CFO-ready business case</w:t>
            </w:r>
          </w:p>
        </w:tc>
      </w:tr>
      <w:tr>
        <w:tc>
          <w:tcPr>
            <w:tcW w:type="dxa" w:w="1872"/>
            <w:shd w:val="clear" w:color="auto" w:fill="FFFFFF"/>
          </w:tcPr>
          <w:p>
            <w:r>
              <w:rPr>
                <w:rFonts w:ascii="Calibri" w:hAnsi="Calibri"/>
                <w:b w:val="0"/>
                <w:i w:val="0"/>
                <w:sz w:val="19"/>
              </w:rPr>
              <w:t>Phase 2 Design</w:t>
            </w:r>
          </w:p>
        </w:tc>
        <w:tc>
          <w:tcPr>
            <w:tcW w:type="dxa" w:w="4032"/>
            <w:shd w:val="clear" w:color="auto" w:fill="FFFFFF"/>
          </w:tcPr>
          <w:p>
            <w:r>
              <w:rPr>
                <w:rFonts w:ascii="Calibri" w:hAnsi="Calibri"/>
                <w:b w:val="0"/>
                <w:i w:val="0"/>
                <w:sz w:val="19"/>
              </w:rPr>
              <w:t>Design validation; architecture review; benefits model update; governance gate configuration</w:t>
            </w:r>
          </w:p>
        </w:tc>
        <w:tc>
          <w:tcPr>
            <w:tcW w:type="dxa" w:w="3024"/>
            <w:shd w:val="clear" w:color="auto" w:fill="FFFFFF"/>
          </w:tcPr>
          <w:p>
            <w:r>
              <w:rPr>
                <w:rFonts w:ascii="Calibri" w:hAnsi="Calibri"/>
                <w:b w:val="0"/>
                <w:i w:val="0"/>
                <w:sz w:val="19"/>
              </w:rPr>
              <w:t>Design validated against real data; gates configured before deployment</w:t>
            </w:r>
          </w:p>
        </w:tc>
      </w:tr>
      <w:tr>
        <w:tc>
          <w:tcPr>
            <w:tcW w:type="dxa" w:w="1872"/>
            <w:shd w:val="clear" w:color="auto" w:fill="F3F4F6"/>
          </w:tcPr>
          <w:p>
            <w:r>
              <w:rPr>
                <w:rFonts w:ascii="Calibri" w:hAnsi="Calibri"/>
                <w:b w:val="0"/>
                <w:i w:val="0"/>
                <w:sz w:val="19"/>
              </w:rPr>
              <w:t>Phase 3 Deliver</w:t>
            </w:r>
          </w:p>
        </w:tc>
        <w:tc>
          <w:tcPr>
            <w:tcW w:type="dxa" w:w="4032"/>
            <w:shd w:val="clear" w:color="auto" w:fill="F3F4F6"/>
          </w:tcPr>
          <w:p>
            <w:r>
              <w:rPr>
                <w:rFonts w:ascii="Calibri" w:hAnsi="Calibri"/>
                <w:b w:val="0"/>
                <w:i w:val="0"/>
                <w:sz w:val="19"/>
              </w:rPr>
              <w:t>Continuous measurement; benefits tracking; agent performance monitoring; board reporting dashboard</w:t>
            </w:r>
          </w:p>
        </w:tc>
        <w:tc>
          <w:tcPr>
            <w:tcW w:type="dxa" w:w="3024"/>
            <w:shd w:val="clear" w:color="auto" w:fill="F3F4F6"/>
          </w:tcPr>
          <w:p>
            <w:r>
              <w:rPr>
                <w:rFonts w:ascii="Calibri" w:hAnsi="Calibri"/>
                <w:b w:val="0"/>
                <w:i w:val="0"/>
                <w:sz w:val="19"/>
              </w:rPr>
              <w:t>Real-time evidence of benefit realisation; early warning on slippage; board confidence</w:t>
            </w:r>
          </w:p>
        </w:tc>
      </w:tr>
    </w:tbl>
    <w:p/>
    <w:p>
      <w:pPr>
        <w:spacing w:before="240" w:after="80"/>
      </w:pPr>
      <w:r>
        <w:rPr>
          <w:rFonts w:ascii="Calibri" w:hAnsi="Calibri"/>
          <w:b/>
          <w:i w:val="0"/>
          <w:color w:val="2563EB"/>
          <w:sz w:val="26"/>
        </w:rPr>
        <w:t>Client Responsibilities Per Phase</w:t>
      </w:r>
    </w:p>
    <w:tbl>
      <w:tblPr>
        <w:tblStyle w:val="TableGrid"/>
        <w:tblW w:type="auto" w:w="0"/>
        <w:tblLook w:firstColumn="1" w:firstRow="1" w:lastColumn="0" w:lastRow="0" w:noHBand="0" w:noVBand="1" w:val="04A0"/>
      </w:tblPr>
      <w:tblGrid>
        <w:gridCol w:w="3120"/>
        <w:gridCol w:w="3120"/>
        <w:gridCol w:w="3120"/>
      </w:tblGrid>
      <w:tr>
        <w:tc>
          <w:tcPr>
            <w:tcW w:type="dxa" w:w="1872"/>
            <w:shd w:val="clear" w:color="auto" w:fill="0F2D5E"/>
          </w:tcPr>
          <w:p>
            <w:r>
              <w:rPr>
                <w:rFonts w:ascii="Calibri" w:hAnsi="Calibri"/>
                <w:b/>
                <w:i w:val="0"/>
                <w:color w:val="FFFFFF"/>
                <w:sz w:val="19"/>
              </w:rPr>
              <w:t>Phase</w:t>
            </w:r>
          </w:p>
        </w:tc>
        <w:tc>
          <w:tcPr>
            <w:tcW w:type="dxa" w:w="4608"/>
            <w:shd w:val="clear" w:color="auto" w:fill="0F2D5E"/>
          </w:tcPr>
          <w:p>
            <w:r>
              <w:rPr>
                <w:rFonts w:ascii="Calibri" w:hAnsi="Calibri"/>
                <w:b/>
                <w:i w:val="0"/>
                <w:color w:val="FFFFFF"/>
                <w:sz w:val="19"/>
              </w:rPr>
              <w:t>Client Must Provide</w:t>
            </w:r>
          </w:p>
        </w:tc>
        <w:tc>
          <w:tcPr>
            <w:tcW w:type="dxa" w:w="2448"/>
            <w:shd w:val="clear" w:color="auto" w:fill="0F2D5E"/>
          </w:tcPr>
          <w:p>
            <w:r>
              <w:rPr>
                <w:rFonts w:ascii="Calibri" w:hAnsi="Calibri"/>
                <w:b/>
                <w:i w:val="0"/>
                <w:color w:val="FFFFFF"/>
                <w:sz w:val="19"/>
              </w:rPr>
              <w:t>Estimated Effort</w:t>
            </w:r>
          </w:p>
        </w:tc>
      </w:tr>
      <w:tr>
        <w:tc>
          <w:tcPr>
            <w:tcW w:type="dxa" w:w="1872"/>
            <w:shd w:val="clear" w:color="auto" w:fill="F3F4F6"/>
          </w:tcPr>
          <w:p>
            <w:r>
              <w:rPr>
                <w:rFonts w:ascii="Calibri" w:hAnsi="Calibri"/>
                <w:b w:val="0"/>
                <w:i w:val="0"/>
                <w:sz w:val="19"/>
              </w:rPr>
              <w:t>Phase 1 Diagnose</w:t>
            </w:r>
          </w:p>
        </w:tc>
        <w:tc>
          <w:tcPr>
            <w:tcW w:type="dxa" w:w="4608"/>
            <w:shd w:val="clear" w:color="auto" w:fill="F3F4F6"/>
          </w:tcPr>
          <w:p>
            <w:r>
              <w:rPr>
                <w:rFonts w:ascii="Calibri" w:hAnsi="Calibri"/>
                <w:b w:val="0"/>
                <w:i w:val="0"/>
                <w:sz w:val="19"/>
              </w:rPr>
              <w:t>ALM admin access; 2–4 senior engineering stakeholders; finance business partner (4 hrs); executive team for Week 8 presentation</w:t>
            </w:r>
          </w:p>
        </w:tc>
        <w:tc>
          <w:tcPr>
            <w:tcW w:type="dxa" w:w="2448"/>
            <w:shd w:val="clear" w:color="auto" w:fill="F3F4F6"/>
          </w:tcPr>
          <w:p>
            <w:r>
              <w:rPr>
                <w:rFonts w:ascii="Calibri" w:hAnsi="Calibri"/>
                <w:b w:val="0"/>
                <w:i w:val="0"/>
                <w:sz w:val="19"/>
              </w:rPr>
              <w:t>~20 hours total client time</w:t>
            </w:r>
          </w:p>
        </w:tc>
      </w:tr>
      <w:tr>
        <w:tc>
          <w:tcPr>
            <w:tcW w:type="dxa" w:w="1872"/>
            <w:shd w:val="clear" w:color="auto" w:fill="FFFFFF"/>
          </w:tcPr>
          <w:p>
            <w:r>
              <w:rPr>
                <w:rFonts w:ascii="Calibri" w:hAnsi="Calibri"/>
                <w:b w:val="0"/>
                <w:i w:val="0"/>
                <w:sz w:val="19"/>
              </w:rPr>
              <w:t>Phase 2 Design</w:t>
            </w:r>
          </w:p>
        </w:tc>
        <w:tc>
          <w:tcPr>
            <w:tcW w:type="dxa" w:w="4608"/>
            <w:shd w:val="clear" w:color="auto" w:fill="FFFFFF"/>
          </w:tcPr>
          <w:p>
            <w:r>
              <w:rPr>
                <w:rFonts w:ascii="Calibri" w:hAnsi="Calibri"/>
                <w:b w:val="0"/>
                <w:i w:val="0"/>
                <w:sz w:val="19"/>
              </w:rPr>
              <w:t>CTO/CRO engagement on governance design; programme owner nominated; change management resource allocated</w:t>
            </w:r>
          </w:p>
        </w:tc>
        <w:tc>
          <w:tcPr>
            <w:tcW w:type="dxa" w:w="2448"/>
            <w:shd w:val="clear" w:color="auto" w:fill="FFFFFF"/>
          </w:tcPr>
          <w:p>
            <w:r>
              <w:rPr>
                <w:rFonts w:ascii="Calibri" w:hAnsi="Calibri"/>
                <w:b w:val="0"/>
                <w:i w:val="0"/>
                <w:sz w:val="19"/>
              </w:rPr>
              <w:t>~40 hours total client time</w:t>
            </w:r>
          </w:p>
        </w:tc>
      </w:tr>
      <w:tr>
        <w:tc>
          <w:tcPr>
            <w:tcW w:type="dxa" w:w="1872"/>
            <w:shd w:val="clear" w:color="auto" w:fill="F3F4F6"/>
          </w:tcPr>
          <w:p>
            <w:r>
              <w:rPr>
                <w:rFonts w:ascii="Calibri" w:hAnsi="Calibri"/>
                <w:b w:val="0"/>
                <w:i w:val="0"/>
                <w:sz w:val="19"/>
              </w:rPr>
              <w:t>Phase 3 Deliver</w:t>
            </w:r>
          </w:p>
        </w:tc>
        <w:tc>
          <w:tcPr>
            <w:tcW w:type="dxa" w:w="4608"/>
            <w:shd w:val="clear" w:color="auto" w:fill="F3F4F6"/>
          </w:tcPr>
          <w:p>
            <w:r>
              <w:rPr>
                <w:rFonts w:ascii="Calibri" w:hAnsi="Calibri"/>
                <w:b w:val="0"/>
                <w:i w:val="0"/>
                <w:sz w:val="19"/>
              </w:rPr>
              <w:t>Programme owner (0.5 FTE); engineering team engagement for each deployment; executive sponsor for quarterly reviews; finance for benefits sign-off</w:t>
            </w:r>
          </w:p>
        </w:tc>
        <w:tc>
          <w:tcPr>
            <w:tcW w:type="dxa" w:w="2448"/>
            <w:shd w:val="clear" w:color="auto" w:fill="F3F4F6"/>
          </w:tcPr>
          <w:p>
            <w:r>
              <w:rPr>
                <w:rFonts w:ascii="Calibri" w:hAnsi="Calibri"/>
                <w:b w:val="0"/>
                <w:i w:val="0"/>
                <w:sz w:val="19"/>
              </w:rPr>
              <w:t>~0.5–1.0 FTE ongoing</w:t>
            </w:r>
          </w:p>
        </w:tc>
      </w:tr>
    </w:tbl>
    <w:p/>
    <w:p>
      <w:pPr>
        <w:spacing w:before="60" w:after="60"/>
        <w:pBdr>
          <w:bottom w:val="single" w:sz="6" w:space="1" w:color="2563EB"/>
        </w:pBdr>
      </w:pPr>
    </w:p>
    <w:p>
      <w:pPr>
        <w:spacing w:before="400" w:after="120"/>
      </w:pPr>
      <w:r>
        <w:rPr>
          <w:rFonts w:ascii="Calibri" w:hAnsi="Calibri"/>
          <w:b/>
          <w:i w:val="0"/>
          <w:color w:val="0F2D5E"/>
          <w:sz w:val="32"/>
        </w:rPr>
        <w:t>How the Platform Makes Each Phase Faster and Evidence-Based</w:t>
      </w:r>
    </w:p>
    <w:p>
      <w:pPr>
        <w:spacing w:before="240" w:after="80"/>
      </w:pPr>
      <w:r>
        <w:rPr>
          <w:rFonts w:ascii="Calibri" w:hAnsi="Calibri"/>
          <w:b/>
          <w:i w:val="0"/>
          <w:color w:val="2563EB"/>
          <w:sz w:val="26"/>
        </w:rPr>
        <w:t>The 5× Acceleration Principle</w:t>
      </w:r>
    </w:p>
    <w:p>
      <w:pPr>
        <w:spacing w:after="80"/>
      </w:pPr>
      <w:r>
        <w:rPr>
          <w:rFonts w:ascii="Calibri" w:hAnsi="Calibri"/>
          <w:b w:val="0"/>
          <w:i w:val="0"/>
          <w:sz w:val="21"/>
        </w:rPr>
        <w:t>Every phase of the engagement is accelerated by the STUMP. The platform is not a software product being licensed — it is an operational capability that is deployed in service of the consulting programme. Clients do not need to buy, implement, or maintain the platform: it runs as part of the engagement.</w:t>
      </w:r>
    </w:p>
    <w:p>
      <w:pPr>
        <w:pStyle w:val="ListBullet"/>
        <w:spacing w:after="40"/>
        <w:ind w:left="432"/>
      </w:pPr>
      <w:r>
        <w:rPr>
          <w:rFonts w:ascii="Calibri" w:hAnsi="Calibri"/>
          <w:b/>
          <w:i w:val="0"/>
          <w:sz w:val="21"/>
        </w:rPr>
        <w:t xml:space="preserve">Phase 1: </w:t>
      </w:r>
      <w:r>
        <w:rPr>
          <w:rFonts w:ascii="Calibri" w:hAnsi="Calibri"/>
          <w:b w:val="0"/>
          <w:i w:val="0"/>
          <w:sz w:val="21"/>
        </w:rPr>
        <w:t>Phase 1 is 5× faster because VSM generation is automated from ALM data. No manual data wrangling. No workshop transcription. No consultant estimates.</w:t>
      </w:r>
    </w:p>
    <w:p>
      <w:pPr>
        <w:pStyle w:val="ListBullet"/>
        <w:spacing w:after="40"/>
        <w:ind w:left="432"/>
      </w:pPr>
      <w:r>
        <w:rPr>
          <w:rFonts w:ascii="Calibri" w:hAnsi="Calibri"/>
          <w:b/>
          <w:i w:val="0"/>
          <w:sz w:val="21"/>
        </w:rPr>
        <w:t xml:space="preserve">Phase 2: </w:t>
      </w:r>
      <w:r>
        <w:rPr>
          <w:rFonts w:ascii="Calibri" w:hAnsi="Calibri"/>
          <w:b w:val="0"/>
          <w:i w:val="0"/>
          <w:sz w:val="21"/>
        </w:rPr>
        <w:t>Phase 2 is more accurate because design decisions are validated against the measured baseline. The design is anchored to real data, not assumptions.</w:t>
      </w:r>
    </w:p>
    <w:p>
      <w:pPr>
        <w:pStyle w:val="ListBullet"/>
        <w:spacing w:after="40"/>
        <w:ind w:left="432"/>
      </w:pPr>
      <w:r>
        <w:rPr>
          <w:rFonts w:ascii="Calibri" w:hAnsi="Calibri"/>
          <w:b/>
          <w:i w:val="0"/>
          <w:sz w:val="21"/>
        </w:rPr>
        <w:t xml:space="preserve">Phase 3: </w:t>
      </w:r>
      <w:r>
        <w:rPr>
          <w:rFonts w:ascii="Calibri" w:hAnsi="Calibri"/>
          <w:b w:val="0"/>
          <w:i w:val="0"/>
          <w:sz w:val="21"/>
        </w:rPr>
        <w:t>Phase 3 benefits are visible in real time. The platform's measurement dashboard gives the executive team live visibility of benefit realisation — no waiting for quarterly reviews to know if the programme is working.</w:t>
      </w:r>
    </w:p>
    <w:tbl>
      <w:tblPr>
        <w:tblStyle w:val="TableGrid"/>
        <w:tblW w:type="auto" w:w="0"/>
        <w:tblLook w:firstColumn="1" w:firstRow="1" w:lastColumn="0" w:lastRow="0" w:noHBand="0" w:noVBand="1" w:val="04A0"/>
      </w:tblPr>
      <w:tblGrid>
        <w:gridCol w:w="9360"/>
      </w:tblGrid>
      <w:tr>
        <w:tc>
          <w:tcPr>
            <w:tcW w:type="dxa" w:w="9360"/>
            <w:shd w:val="clear" w:color="auto" w:fill="DBEAFE"/>
          </w:tcPr>
          <w:p>
            <w:r>
              <w:rPr>
                <w:rFonts w:ascii="Calibri" w:hAnsi="Calibri"/>
                <w:b w:val="0"/>
                <w:i/>
                <w:color w:val="0F2D5E"/>
                <w:sz w:val="21"/>
              </w:rPr>
              <w:t>The platform is the accelerator. The consulting team is the strategy, the change, and the accountability. Together, they deliver transformation outcomes that neither could achieve independently.</w:t>
            </w:r>
          </w:p>
        </w:tc>
      </w:tr>
    </w:tbl>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