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0F2D5E"/>
          </w:tcPr>
          <w:p>
            <w:pPr>
              <w:spacing w:before="400" w:after="120"/>
              <w:jc w:val="center"/>
            </w:pPr>
            <w:r>
              <w:rPr>
                <w:rFonts w:ascii="Calibri" w:hAnsi="Calibri"/>
                <w:b/>
                <w:i w:val="0"/>
                <w:color w:val="FFFFFF"/>
                <w:sz w:val="44"/>
              </w:rPr>
              <w:t>AI-Powered PDLC Transformation</w:t>
            </w:r>
          </w:p>
          <w:p>
            <w:pPr>
              <w:jc w:val="center"/>
            </w:pPr>
            <w:r>
              <w:rPr>
                <w:rFonts w:ascii="Calibri" w:hAnsi="Calibri"/>
                <w:b w:val="0"/>
                <w:i w:val="0"/>
                <w:color w:val="DBEAFE"/>
                <w:sz w:val="26"/>
              </w:rPr>
              <w:t>GTM Pack — Set 1: CXO GTM Pack</w:t>
            </w:r>
          </w:p>
          <w:p>
            <w:pPr>
              <w:spacing w:after="400"/>
              <w:jc w:val="center"/>
            </w:pPr>
            <w:r>
              <w:rPr>
                <w:rFonts w:ascii="Calibri" w:hAnsi="Calibri"/>
                <w:b w:val="0"/>
                <w:i/>
                <w:color w:val="DBEAFE"/>
                <w:sz w:val="22"/>
              </w:rPr>
              <w:t>Document 10 of 10</w:t>
            </w:r>
          </w:p>
        </w:tc>
      </w:tr>
    </w:tbl>
    <w:p/>
    <w:p>
      <w:pPr>
        <w:jc w:val="center"/>
      </w:pPr>
      <w:r>
        <w:rPr>
          <w:rFonts w:ascii="Calibri" w:hAnsi="Calibri"/>
          <w:b/>
          <w:i w:val="0"/>
          <w:color w:val="0F2D5E"/>
          <w:sz w:val="52"/>
        </w:rPr>
        <w:t>Offering Demo Script &amp; Facilitation Guide</w:t>
      </w:r>
    </w:p>
    <w:p>
      <w:pPr>
        <w:jc w:val="center"/>
      </w:pPr>
      <w:r>
        <w:rPr>
          <w:rFonts w:ascii="Calibri" w:hAnsi="Calibri"/>
          <w:b w:val="0"/>
          <w:i/>
          <w:color w:val="2563EB"/>
          <w:sz w:val="28"/>
        </w:rPr>
        <w:t>Selling AI-Powered PDLC Transformation Using the Platform as Evidence</w:t>
      </w:r>
    </w:p>
    <w:p>
      <w:pPr>
        <w:spacing w:before="60" w:after="60"/>
        <w:pBdr>
          <w:bottom w:val="single" w:sz="6" w:space="1" w:color="2563EB"/>
        </w:pBdr>
      </w:pPr>
    </w:p>
    <w:p>
      <w:pPr>
        <w:jc w:val="center"/>
      </w:pPr>
      <w:r>
        <w:rPr>
          <w:rFonts w:ascii="Calibri" w:hAnsi="Calibri"/>
          <w:b w:val="0"/>
          <w:i w:val="0"/>
          <w:color w:val="4B5563"/>
          <w:sz w:val="22"/>
        </w:rPr>
        <w:t>DIAGNOSE · DESIGN · DELIVER · Accelerated by AI</w:t>
      </w:r>
    </w:p>
    <w:p>
      <w:r>
        <w:br w:type="page"/>
      </w:r>
    </w:p>
    <w:p>
      <w:pPr>
        <w:spacing w:before="400" w:after="120"/>
      </w:pPr>
      <w:r>
        <w:rPr>
          <w:rFonts w:ascii="Calibri" w:hAnsi="Calibri"/>
          <w:b/>
          <w:i w:val="0"/>
          <w:color w:val="0F2D5E"/>
          <w:sz w:val="32"/>
        </w:rPr>
        <w:t>Purpose and Philosophy of This Demo</w:t>
      </w:r>
    </w:p>
    <w:p>
      <w:pPr>
        <w:spacing w:after="80"/>
      </w:pPr>
      <w:r>
        <w:rPr>
          <w:rFonts w:ascii="Calibri" w:hAnsi="Calibri"/>
          <w:b w:val="0"/>
          <w:i w:val="0"/>
          <w:sz w:val="21"/>
        </w:rPr>
        <w:t>This is NOT a platform demo. The goal is not to show the software. The goal is to sell the consulting offering — 'AI-Powered PDLC Transformation: Diagnose. Design. Deliver.' — using the platform as live evidence that the diagnosis is real, fast, and evidence-based.</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Frame for the room before you begin: 'What we're going to show you today is not software. We're going to show you what your PDLC actually looks like — and what the financial case for transforming it is. The platform is how we gather that evidence. It's our accelerator, not the product we're selling you.'</w:t>
            </w:r>
          </w:p>
        </w:tc>
      </w:tr>
    </w:tbl>
    <w:p/>
    <w:p>
      <w:pPr>
        <w:spacing w:after="80"/>
      </w:pPr>
      <w:r>
        <w:rPr>
          <w:rFonts w:ascii="Calibri" w:hAnsi="Calibri"/>
          <w:b w:val="0"/>
          <w:i w:val="0"/>
          <w:sz w:val="21"/>
        </w:rPr>
        <w:t>The demo should take 45–60 minutes. It should be run with a pre-loaded dataset (ideally a sanitised client dataset or the US Bank reference case). At the end, the close is: 'We can have this showing YOUR data — from YOUR teams — in 2 weeks.'</w:t>
      </w:r>
    </w:p>
    <w:p>
      <w:pPr>
        <w:spacing w:before="60" w:after="60"/>
        <w:pBdr>
          <w:bottom w:val="single" w:sz="6" w:space="1" w:color="2563EB"/>
        </w:pBdr>
      </w:pPr>
    </w:p>
    <w:p>
      <w:pPr>
        <w:spacing w:before="400" w:after="120"/>
      </w:pPr>
      <w:r>
        <w:rPr>
          <w:rFonts w:ascii="Calibri" w:hAnsi="Calibri"/>
          <w:b/>
          <w:i w:val="0"/>
          <w:color w:val="0F2D5E"/>
          <w:sz w:val="32"/>
        </w:rPr>
        <w:t>Pre-Demo Setup</w:t>
      </w:r>
    </w:p>
    <w:p>
      <w:pPr>
        <w:spacing w:before="240" w:after="80"/>
      </w:pPr>
      <w:r>
        <w:rPr>
          <w:rFonts w:ascii="Calibri" w:hAnsi="Calibri"/>
          <w:b/>
          <w:i w:val="0"/>
          <w:color w:val="2563EB"/>
          <w:sz w:val="26"/>
        </w:rPr>
        <w:t>What to Prepare</w:t>
      </w:r>
    </w:p>
    <w:p>
      <w:pPr>
        <w:pStyle w:val="ListBullet"/>
        <w:spacing w:after="40"/>
        <w:ind w:left="432"/>
      </w:pPr>
      <w:r>
        <w:rPr>
          <w:rFonts w:ascii="Calibri" w:hAnsi="Calibri"/>
          <w:b w:val="0"/>
          <w:i w:val="0"/>
          <w:sz w:val="21"/>
        </w:rPr>
        <w:t>Pre-load US Bank / Team Phoenix dataset (or client-specific data if available)</w:t>
      </w:r>
    </w:p>
    <w:p>
      <w:pPr>
        <w:pStyle w:val="ListBullet"/>
        <w:spacing w:after="40"/>
        <w:ind w:left="432"/>
      </w:pPr>
      <w:r>
        <w:rPr>
          <w:rFonts w:ascii="Calibri" w:hAnsi="Calibri"/>
          <w:b w:val="0"/>
          <w:i w:val="0"/>
          <w:sz w:val="21"/>
        </w:rPr>
        <w:t>Confirm ALM connection is live and VSM is pre-generated (do not run live generation in demo)</w:t>
      </w:r>
    </w:p>
    <w:p>
      <w:pPr>
        <w:pStyle w:val="ListBullet"/>
        <w:spacing w:after="40"/>
        <w:ind w:left="432"/>
      </w:pPr>
      <w:r>
        <w:rPr>
          <w:rFonts w:ascii="Calibri" w:hAnsi="Calibri"/>
          <w:b w:val="0"/>
          <w:i w:val="0"/>
          <w:sz w:val="21"/>
        </w:rPr>
        <w:t>Have the Option B business case pre-calculated and ready to display</w:t>
      </w:r>
    </w:p>
    <w:p>
      <w:pPr>
        <w:pStyle w:val="ListBullet"/>
        <w:spacing w:after="40"/>
        <w:ind w:left="432"/>
      </w:pPr>
      <w:r>
        <w:rPr>
          <w:rFonts w:ascii="Calibri" w:hAnsi="Calibri"/>
          <w:b w:val="0"/>
          <w:i w:val="0"/>
          <w:sz w:val="21"/>
        </w:rPr>
        <w:t>Prepare 3 printed one-pagers: the Service Brief (Doc 03), the ROI Calculator (Doc 05), and the Case Study (Doc 07)</w:t>
      </w:r>
    </w:p>
    <w:p>
      <w:pPr>
        <w:pStyle w:val="ListBullet"/>
        <w:spacing w:after="40"/>
        <w:ind w:left="432"/>
      </w:pPr>
      <w:r>
        <w:rPr>
          <w:rFonts w:ascii="Calibri" w:hAnsi="Calibri"/>
          <w:b w:val="0"/>
          <w:i w:val="0"/>
          <w:sz w:val="21"/>
        </w:rPr>
        <w:t>Know the client's approximate: team size, tech stack (Jira/ADO/Rally), and whether they have attempted a VSM before</w:t>
      </w:r>
    </w:p>
    <w:p>
      <w:pPr>
        <w:spacing w:before="240" w:after="80"/>
      </w:pPr>
      <w:r>
        <w:rPr>
          <w:rFonts w:ascii="Calibri" w:hAnsi="Calibri"/>
          <w:b/>
          <w:i w:val="0"/>
          <w:color w:val="2563EB"/>
          <w:sz w:val="26"/>
        </w:rPr>
        <w:t>Know Before You Enter the Room</w:t>
      </w:r>
    </w:p>
    <w:tbl>
      <w:tblPr>
        <w:tblStyle w:val="TableGrid"/>
        <w:tblW w:type="auto" w:w="0"/>
        <w:tblLook w:firstColumn="1" w:firstRow="1" w:lastColumn="0" w:lastRow="0" w:noHBand="0" w:noVBand="1" w:val="04A0"/>
      </w:tblPr>
      <w:tblGrid>
        <w:gridCol w:w="4680"/>
        <w:gridCol w:w="4680"/>
      </w:tblGrid>
      <w:tr>
        <w:tc>
          <w:tcPr>
            <w:tcW w:type="dxa" w:w="3600"/>
            <w:shd w:val="clear" w:color="auto" w:fill="0F2D5E"/>
          </w:tcPr>
          <w:p>
            <w:r>
              <w:rPr>
                <w:rFonts w:ascii="Calibri" w:hAnsi="Calibri"/>
                <w:b/>
                <w:i w:val="0"/>
                <w:color w:val="FFFFFF"/>
                <w:sz w:val="19"/>
              </w:rPr>
              <w:t>Question</w:t>
            </w:r>
          </w:p>
        </w:tc>
        <w:tc>
          <w:tcPr>
            <w:tcW w:type="dxa" w:w="5328"/>
            <w:shd w:val="clear" w:color="auto" w:fill="0F2D5E"/>
          </w:tcPr>
          <w:p>
            <w:r>
              <w:rPr>
                <w:rFonts w:ascii="Calibri" w:hAnsi="Calibri"/>
                <w:b/>
                <w:i w:val="0"/>
                <w:color w:val="FFFFFF"/>
                <w:sz w:val="19"/>
              </w:rPr>
              <w:t>Why It Matters</w:t>
            </w:r>
          </w:p>
        </w:tc>
      </w:tr>
      <w:tr>
        <w:tc>
          <w:tcPr>
            <w:tcW w:type="dxa" w:w="3600"/>
            <w:shd w:val="clear" w:color="auto" w:fill="F3F4F6"/>
          </w:tcPr>
          <w:p>
            <w:r>
              <w:rPr>
                <w:rFonts w:ascii="Calibri" w:hAnsi="Calibri"/>
                <w:b w:val="0"/>
                <w:i w:val="0"/>
                <w:sz w:val="19"/>
              </w:rPr>
              <w:t>What is their approximate lead time (if known)?</w:t>
            </w:r>
          </w:p>
        </w:tc>
        <w:tc>
          <w:tcPr>
            <w:tcW w:type="dxa" w:w="5328"/>
            <w:shd w:val="clear" w:color="auto" w:fill="F3F4F6"/>
          </w:tcPr>
          <w:p>
            <w:r>
              <w:rPr>
                <w:rFonts w:ascii="Calibri" w:hAnsi="Calibri"/>
                <w:b w:val="0"/>
                <w:i w:val="0"/>
                <w:sz w:val="19"/>
              </w:rPr>
              <w:t>Anchor the opening hook to a number close to theirs</w:t>
            </w:r>
          </w:p>
        </w:tc>
      </w:tr>
      <w:tr>
        <w:tc>
          <w:tcPr>
            <w:tcW w:type="dxa" w:w="3600"/>
            <w:shd w:val="clear" w:color="auto" w:fill="FFFFFF"/>
          </w:tcPr>
          <w:p>
            <w:r>
              <w:rPr>
                <w:rFonts w:ascii="Calibri" w:hAnsi="Calibri"/>
                <w:b w:val="0"/>
                <w:i w:val="0"/>
                <w:sz w:val="19"/>
              </w:rPr>
              <w:t>Have they done a VSM before?</w:t>
            </w:r>
          </w:p>
        </w:tc>
        <w:tc>
          <w:tcPr>
            <w:tcW w:type="dxa" w:w="5328"/>
            <w:shd w:val="clear" w:color="auto" w:fill="FFFFFF"/>
          </w:tcPr>
          <w:p>
            <w:r>
              <w:rPr>
                <w:rFonts w:ascii="Calibri" w:hAnsi="Calibri"/>
                <w:b w:val="0"/>
                <w:i w:val="0"/>
                <w:sz w:val="19"/>
              </w:rPr>
              <w:t>If yes: 'How long did it take, and what changed?' If no: 'Then this will be the first time you've seen this.'</w:t>
            </w:r>
          </w:p>
        </w:tc>
      </w:tr>
      <w:tr>
        <w:tc>
          <w:tcPr>
            <w:tcW w:type="dxa" w:w="3600"/>
            <w:shd w:val="clear" w:color="auto" w:fill="F3F4F6"/>
          </w:tcPr>
          <w:p>
            <w:r>
              <w:rPr>
                <w:rFonts w:ascii="Calibri" w:hAnsi="Calibri"/>
                <w:b w:val="0"/>
                <w:i w:val="0"/>
                <w:sz w:val="19"/>
              </w:rPr>
              <w:t>Who is in the room (CTO? CFO? Both?)</w:t>
            </w:r>
          </w:p>
        </w:tc>
        <w:tc>
          <w:tcPr>
            <w:tcW w:type="dxa" w:w="5328"/>
            <w:shd w:val="clear" w:color="auto" w:fill="F3F4F6"/>
          </w:tcPr>
          <w:p>
            <w:r>
              <w:rPr>
                <w:rFonts w:ascii="Calibri" w:hAnsi="Calibri"/>
                <w:b w:val="0"/>
                <w:i w:val="0"/>
                <w:sz w:val="19"/>
              </w:rPr>
              <w:t>CTO: lean into speed/quality. CFO: lean into ROI/payback. Both: start with the bottleneck cost.</w:t>
            </w:r>
          </w:p>
        </w:tc>
      </w:tr>
      <w:tr>
        <w:tc>
          <w:tcPr>
            <w:tcW w:type="dxa" w:w="3600"/>
            <w:shd w:val="clear" w:color="auto" w:fill="FFFFFF"/>
          </w:tcPr>
          <w:p>
            <w:r>
              <w:rPr>
                <w:rFonts w:ascii="Calibri" w:hAnsi="Calibri"/>
                <w:b w:val="0"/>
                <w:i w:val="0"/>
                <w:sz w:val="19"/>
              </w:rPr>
              <w:t>What transformation initiatives have they run?</w:t>
            </w:r>
          </w:p>
        </w:tc>
        <w:tc>
          <w:tcPr>
            <w:tcW w:type="dxa" w:w="5328"/>
            <w:shd w:val="clear" w:color="auto" w:fill="FFFFFF"/>
          </w:tcPr>
          <w:p>
            <w:r>
              <w:rPr>
                <w:rFonts w:ascii="Calibri" w:hAnsi="Calibri"/>
                <w:b w:val="0"/>
                <w:i w:val="0"/>
                <w:sz w:val="19"/>
              </w:rPr>
              <w:t>Acknowledge prior effort; position the offering as the missing diagnosis layer.</w:t>
            </w:r>
          </w:p>
        </w:tc>
      </w:tr>
      <w:tr>
        <w:tc>
          <w:tcPr>
            <w:tcW w:type="dxa" w:w="3600"/>
            <w:shd w:val="clear" w:color="auto" w:fill="F3F4F6"/>
          </w:tcPr>
          <w:p>
            <w:r>
              <w:rPr>
                <w:rFonts w:ascii="Calibri" w:hAnsi="Calibri"/>
                <w:b w:val="0"/>
                <w:i w:val="0"/>
                <w:sz w:val="19"/>
              </w:rPr>
              <w:t>Are they already using AI tools (Copilot, etc.)?</w:t>
            </w:r>
          </w:p>
        </w:tc>
        <w:tc>
          <w:tcPr>
            <w:tcW w:type="dxa" w:w="5328"/>
            <w:shd w:val="clear" w:color="auto" w:fill="F3F4F6"/>
          </w:tcPr>
          <w:p>
            <w:r>
              <w:rPr>
                <w:rFonts w:ascii="Calibri" w:hAnsi="Calibri"/>
                <w:b w:val="0"/>
                <w:i w:val="0"/>
                <w:sz w:val="19"/>
              </w:rPr>
              <w:t>If yes: 'Good — that's Option A today. Let's show you what Option B looks like.'</w:t>
            </w:r>
          </w:p>
        </w:tc>
      </w:tr>
    </w:tbl>
    <w:p/>
    <w:p>
      <w:pPr>
        <w:spacing w:before="60" w:after="60"/>
        <w:pBdr>
          <w:bottom w:val="single" w:sz="6" w:space="1" w:color="2563EB"/>
        </w:pBdr>
      </w:pPr>
    </w:p>
    <w:p>
      <w:pPr>
        <w:spacing w:before="400" w:after="120"/>
      </w:pPr>
      <w:r>
        <w:rPr>
          <w:rFonts w:ascii="Calibri" w:hAnsi="Calibri"/>
          <w:b/>
          <w:i w:val="0"/>
          <w:color w:val="0F2D5E"/>
          <w:sz w:val="32"/>
        </w:rPr>
        <w:t>Demo Arc — Step by Step</w:t>
      </w:r>
    </w:p>
    <w:p>
      <w:pPr>
        <w:spacing w:before="240" w:after="80"/>
      </w:pPr>
      <w:r>
        <w:rPr>
          <w:rFonts w:ascii="Calibri" w:hAnsi="Calibri"/>
          <w:b/>
          <w:i w:val="0"/>
          <w:color w:val="2563EB"/>
          <w:sz w:val="26"/>
        </w:rPr>
        <w:t>Step 1: The Opening Hook (5 minutes)</w:t>
      </w:r>
    </w:p>
    <w:p>
      <w:pPr>
        <w:spacing w:before="160" w:after="60"/>
      </w:pPr>
      <w:r>
        <w:rPr>
          <w:rFonts w:ascii="Calibri" w:hAnsi="Calibri"/>
          <w:b/>
          <w:i w:val="0"/>
          <w:color w:val="0F2D5E"/>
          <w:sz w:val="22"/>
        </w:rPr>
        <w:t>Opening Question — Word for Word</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SCRIPT: 'Before I show you anything, I want to ask you one question. Of the last 10 features your teams shipped — how many days, on average, did it take from the moment they were committed in planning to the moment they were live in production? And of those days — what percentage do you think was actual engineering work, versus waiting?'</w:t>
              <w:br/>
              <w:br/>
              <w:t>[Pause. Let them answer. Do not fill the silence.]</w:t>
              <w:br/>
              <w:br/>
              <w:t>Script continue: 'Thank you. Whatever number you gave me — I can almost guarantee the real answer is lower than you think. The average across 500 financial services teams we've worked with is 17%. Seventeen cents of every engineering dollar is doing real work. The rest is waiting. Let me show you what that looks like — in a real team's data.'</w:t>
            </w:r>
          </w:p>
        </w:tc>
      </w:tr>
    </w:tbl>
    <w:p/>
    <w:p>
      <w:pPr>
        <w:spacing w:before="160" w:after="60"/>
      </w:pPr>
      <w:r>
        <w:rPr>
          <w:rFonts w:ascii="Calibri" w:hAnsi="Calibri"/>
          <w:b/>
          <w:i w:val="0"/>
          <w:color w:val="0F2D5E"/>
          <w:sz w:val="22"/>
        </w:rPr>
        <w:t>Presenter Notes — Opening Hook</w:t>
      </w:r>
    </w:p>
    <w:p>
      <w:pPr>
        <w:pStyle w:val="ListBullet"/>
        <w:spacing w:after="40"/>
        <w:ind w:left="432"/>
      </w:pPr>
      <w:r>
        <w:rPr>
          <w:rFonts w:ascii="Calibri" w:hAnsi="Calibri"/>
          <w:b w:val="0"/>
          <w:i w:val="0"/>
          <w:sz w:val="21"/>
        </w:rPr>
        <w:t>The question surfaces both a number and a feeling. Most executives give a guess, not a measurement — and they know it. That gap between 'I think' and 'I know' is the entry point.</w:t>
      </w:r>
    </w:p>
    <w:p>
      <w:pPr>
        <w:pStyle w:val="ListBullet"/>
        <w:spacing w:after="40"/>
        <w:ind w:left="432"/>
      </w:pPr>
      <w:r>
        <w:rPr>
          <w:rFonts w:ascii="Calibri" w:hAnsi="Calibri"/>
          <w:b w:val="0"/>
          <w:i w:val="0"/>
          <w:sz w:val="21"/>
        </w:rPr>
        <w:t>If they say they don't know, that IS the answer: 'That's exactly the problem we're going to solve in Phase 1.'</w:t>
      </w:r>
    </w:p>
    <w:p>
      <w:pPr>
        <w:pStyle w:val="ListBullet"/>
        <w:spacing w:after="40"/>
        <w:ind w:left="432"/>
      </w:pPr>
      <w:r>
        <w:rPr>
          <w:rFonts w:ascii="Calibri" w:hAnsi="Calibri"/>
          <w:b w:val="0"/>
          <w:i w:val="0"/>
          <w:sz w:val="21"/>
        </w:rPr>
        <w:t>If they give a confident number, probe: 'Is that from ALM data or from reporting?' Confident executives often have inflated estimates.</w:t>
      </w:r>
    </w:p>
    <w:p>
      <w:pPr>
        <w:spacing w:before="240" w:after="80"/>
      </w:pPr>
      <w:r>
        <w:rPr>
          <w:rFonts w:ascii="Calibri" w:hAnsi="Calibri"/>
          <w:b/>
          <w:i w:val="0"/>
          <w:color w:val="2563EB"/>
          <w:sz w:val="26"/>
        </w:rPr>
        <w:t>Step 2: Show the Current State VSM (10 minutes)</w:t>
      </w:r>
    </w:p>
    <w:p>
      <w:pPr>
        <w:spacing w:before="160" w:after="60"/>
      </w:pPr>
      <w:r>
        <w:rPr>
          <w:rFonts w:ascii="Calibri" w:hAnsi="Calibri"/>
          <w:b/>
          <w:i w:val="0"/>
          <w:color w:val="0F2D5E"/>
          <w:sz w:val="22"/>
        </w:rPr>
        <w:t>Script</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SCRIPT: 'This is a current state value stream map for Team Phoenix at US Bank. Every data point you're about to see was extracted automatically from their Jira environment — no surveys, no workshops, no consultants spending weeks in spreadsheets. Our platform connected to their data on Monday. By Wednesday, this map existed.</w:t>
              <w:br/>
              <w:br/>
              <w:t>[Point to VSM on screen.]</w:t>
              <w:br/>
              <w:br/>
              <w:t>Look at this step here — Code Review. Thirty minutes of actual review time. Six days of lead time. Why? Queue. At peak volume, 200 pull requests a week flowing to 4 reviewers. The work isn't slow. The queue is unmanaged.</w:t>
              <w:br/>
              <w:br/>
              <w:t>[Point to Change Approval Board step.]</w:t>
              <w:br/>
              <w:br/>
              <w:t>And here — Change Approval Board. Meeting fortnightly. Every deployment waits an average of 1.5 weeks just for the CAB. Not for a security reason. Not for a compliance reason. For a calendar reason.</w:t>
              <w:br/>
              <w:br/>
              <w:t>This is what 42 days looks like. And the team knew it felt slow — but they did not know it was a $15.9M problem. Not until we showed them this.'</w:t>
            </w:r>
          </w:p>
        </w:tc>
      </w:tr>
    </w:tbl>
    <w:p/>
    <w:p>
      <w:pPr>
        <w:spacing w:before="160" w:after="60"/>
      </w:pPr>
      <w:r>
        <w:rPr>
          <w:rFonts w:ascii="Calibri" w:hAnsi="Calibri"/>
          <w:b/>
          <w:i w:val="0"/>
          <w:color w:val="0F2D5E"/>
          <w:sz w:val="22"/>
        </w:rPr>
        <w:t>Presenter Notes — VSM Section</w:t>
      </w:r>
    </w:p>
    <w:p>
      <w:pPr>
        <w:pStyle w:val="ListBullet"/>
        <w:spacing w:after="40"/>
        <w:ind w:left="432"/>
      </w:pPr>
      <w:r>
        <w:rPr>
          <w:rFonts w:ascii="Calibri" w:hAnsi="Calibri"/>
          <w:b w:val="0"/>
          <w:i w:val="0"/>
          <w:sz w:val="21"/>
        </w:rPr>
        <w:t>Point to specific steps, not the whole map. The bottleneck steps are more compelling than the overview.</w:t>
      </w:r>
    </w:p>
    <w:p>
      <w:pPr>
        <w:pStyle w:val="ListBullet"/>
        <w:spacing w:after="40"/>
        <w:ind w:left="432"/>
      </w:pPr>
      <w:r>
        <w:rPr>
          <w:rFonts w:ascii="Calibri" w:hAnsi="Calibri"/>
          <w:b w:val="0"/>
          <w:i w:val="0"/>
          <w:sz w:val="21"/>
        </w:rPr>
        <w:t>The '30 minutes of work, 6 days of waiting' contrast is the single most impactful data point in the demo. Pause on it.</w:t>
      </w:r>
    </w:p>
    <w:p>
      <w:pPr>
        <w:pStyle w:val="ListBullet"/>
        <w:spacing w:after="40"/>
        <w:ind w:left="432"/>
      </w:pPr>
      <w:r>
        <w:rPr>
          <w:rFonts w:ascii="Calibri" w:hAnsi="Calibri"/>
          <w:b w:val="0"/>
          <w:i w:val="0"/>
          <w:sz w:val="21"/>
        </w:rPr>
        <w:t>Expected interruption: 'How do you know it was a calendar reason?' Answer: 'The data shows a bi-weekly spike in deployment lag that correlates exactly with the CAB meeting schedule. The platform identifies this pattern automatically.'</w:t>
      </w:r>
    </w:p>
    <w:p>
      <w:pPr>
        <w:spacing w:before="240" w:after="80"/>
      </w:pPr>
      <w:r>
        <w:rPr>
          <w:rFonts w:ascii="Calibri" w:hAnsi="Calibri"/>
          <w:b/>
          <w:i w:val="0"/>
          <w:color w:val="2563EB"/>
          <w:sz w:val="26"/>
        </w:rPr>
        <w:t>Step 3: Reveal the Bottleneck Cost (10 minutes)</w:t>
      </w:r>
    </w:p>
    <w:p>
      <w:pPr>
        <w:spacing w:before="160" w:after="60"/>
      </w:pPr>
      <w:r>
        <w:rPr>
          <w:rFonts w:ascii="Calibri" w:hAnsi="Calibri"/>
          <w:b/>
          <w:i w:val="0"/>
          <w:color w:val="0F2D5E"/>
          <w:sz w:val="22"/>
        </w:rPr>
        <w:t>Script</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SCRIPT: 'Let me show you what we call the bottleneck cost. This is what Team Phoenix's PDLC waste was costing them, in dollars, per year — before transformation.</w:t>
              <w:br/>
              <w:br/>
              <w:t>[Show bottleneck cost dashboard.]</w:t>
              <w:br/>
              <w:br/>
              <w:t>$5.2 million in engineering capacity consumed by queue time. $9.5 million in rework. $1.2 million in production incidents. Fifteen point nine million dollars a year — not from bad engineering, but from an unmanaged delivery system.</w:t>
              <w:br/>
              <w:br/>
              <w:t>When the CFO saw this slide — built from their own Jira data, not our estimates — he said: 'We have never gone into a transformation approval with this level of financial evidence.'</w:t>
              <w:br/>
              <w:br/>
              <w:t>Here's the question I want to ask you: what do you think YOUR number is?'</w:t>
            </w:r>
          </w:p>
        </w:tc>
      </w:tr>
    </w:tbl>
    <w:p/>
    <w:p>
      <w:pPr>
        <w:spacing w:before="160" w:after="60"/>
      </w:pPr>
      <w:r>
        <w:rPr>
          <w:rFonts w:ascii="Calibri" w:hAnsi="Calibri"/>
          <w:b/>
          <w:i w:val="0"/>
          <w:color w:val="0F2D5E"/>
          <w:sz w:val="22"/>
        </w:rPr>
        <w:t>Presenter Notes — Bottleneck Cost</w:t>
      </w:r>
    </w:p>
    <w:p>
      <w:pPr>
        <w:pStyle w:val="ListBullet"/>
        <w:spacing w:after="40"/>
        <w:ind w:left="432"/>
      </w:pPr>
      <w:r>
        <w:rPr>
          <w:rFonts w:ascii="Calibri" w:hAnsi="Calibri"/>
          <w:b w:val="0"/>
          <w:i w:val="0"/>
          <w:sz w:val="21"/>
        </w:rPr>
        <w:t>The line 'built from their own Jira data, not our estimates' is critical. Repeat it if needed.</w:t>
      </w:r>
    </w:p>
    <w:p>
      <w:pPr>
        <w:pStyle w:val="ListBullet"/>
        <w:spacing w:after="40"/>
        <w:ind w:left="432"/>
      </w:pPr>
      <w:r>
        <w:rPr>
          <w:rFonts w:ascii="Calibri" w:hAnsi="Calibri"/>
          <w:b w:val="0"/>
          <w:i w:val="0"/>
          <w:sz w:val="21"/>
        </w:rPr>
        <w:t>Let the question — 'what do you think YOUR number is?' — sit for a moment. It creates personal ownership of the problem.</w:t>
      </w:r>
    </w:p>
    <w:p>
      <w:pPr>
        <w:pStyle w:val="ListBullet"/>
        <w:spacing w:after="40"/>
        <w:ind w:left="432"/>
      </w:pPr>
      <w:r>
        <w:rPr>
          <w:rFonts w:ascii="Calibri" w:hAnsi="Calibri"/>
          <w:b w:val="0"/>
          <w:i w:val="0"/>
          <w:sz w:val="21"/>
        </w:rPr>
        <w:t>If they engage with a number: 'That's what Phase 1 is for — to measure it precisely so we can build your business case from your data, not from benchmarks.'</w:t>
      </w:r>
    </w:p>
    <w:p>
      <w:pPr>
        <w:spacing w:before="240" w:after="80"/>
      </w:pPr>
      <w:r>
        <w:rPr>
          <w:rFonts w:ascii="Calibri" w:hAnsi="Calibri"/>
          <w:b/>
          <w:i w:val="0"/>
          <w:color w:val="2563EB"/>
          <w:sz w:val="26"/>
        </w:rPr>
        <w:t>Step 4: Introduce the Three Options (10 minutes)</w:t>
      </w:r>
    </w:p>
    <w:p>
      <w:pPr>
        <w:spacing w:before="160" w:after="60"/>
      </w:pPr>
      <w:r>
        <w:rPr>
          <w:rFonts w:ascii="Calibri" w:hAnsi="Calibri"/>
          <w:b/>
          <w:i w:val="0"/>
          <w:color w:val="0F2D5E"/>
          <w:sz w:val="22"/>
        </w:rPr>
        <w:t>Script</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SCRIPT: 'Now — here is where most transformation conversations go wrong. Someone shows you a bottleneck, then immediately pitches you a solution. We do the opposite. We show you three options, each with a different level of AI autonomy, a different investment, and a different return. And then we help you choose.</w:t>
              <w:br/>
              <w:br/>
              <w:t>[Show three-option comparison table.]</w:t>
              <w:br/>
              <w:br/>
              <w:t>Option A is AI tools assisting your teams. Humans make every decision. ROI of 2–3×. Good starting point for organisations building AI confidence.</w:t>
              <w:br/>
              <w:br/>
              <w:t>Option B — this is what US Bank chose — is AI agents executing defined steps, humans approving at strategic gates. Human on the loop. ROI of 4–6×. This is the sweet spot for most enterprise organisations: meaningful autonomy, audit-grade governance.</w:t>
              <w:br/>
              <w:br/>
              <w:t>Option C is fully agentic. AI runs the end-to-end pipeline. Humans set direction and review outcomes. ROI of 8–12×. For organisations ready to make AI a strategic differentiator — not just a productivity tool.</w:t>
              <w:br/>
              <w:br/>
              <w:t>US Bank chose Option B. At 14-month payback and 4.2× ROI, it was the right call for their risk appetite and investment envelope. But for some of the clients we work with, Option C is the right answer. That's what Phase 1 tells us — with data.'</w:t>
            </w:r>
          </w:p>
        </w:tc>
      </w:tr>
    </w:tbl>
    <w:p/>
    <w:p>
      <w:pPr>
        <w:spacing w:before="160" w:after="60"/>
      </w:pPr>
      <w:r>
        <w:rPr>
          <w:rFonts w:ascii="Calibri" w:hAnsi="Calibri"/>
          <w:b/>
          <w:i w:val="0"/>
          <w:color w:val="0F2D5E"/>
          <w:sz w:val="22"/>
        </w:rPr>
        <w:t>Presenter Notes — Three Options</w:t>
      </w:r>
    </w:p>
    <w:p>
      <w:pPr>
        <w:pStyle w:val="ListBullet"/>
        <w:spacing w:after="40"/>
        <w:ind w:left="432"/>
      </w:pPr>
      <w:r>
        <w:rPr>
          <w:rFonts w:ascii="Calibri" w:hAnsi="Calibri"/>
          <w:b w:val="0"/>
          <w:i w:val="0"/>
          <w:sz w:val="21"/>
        </w:rPr>
        <w:t>Let the client self-identify which option feels right. Watch body language. The option they lean toward is the one to probe on risk appetite.</w:t>
      </w:r>
    </w:p>
    <w:p>
      <w:pPr>
        <w:pStyle w:val="ListBullet"/>
        <w:spacing w:after="40"/>
        <w:ind w:left="432"/>
      </w:pPr>
      <w:r>
        <w:rPr>
          <w:rFonts w:ascii="Calibri" w:hAnsi="Calibri"/>
          <w:b w:val="0"/>
          <w:i w:val="0"/>
          <w:sz w:val="21"/>
        </w:rPr>
        <w:t>Option B is recommended but do not oversell it. If they are clearly ready for Option C, position it as the more ambitious path.</w:t>
      </w:r>
    </w:p>
    <w:p>
      <w:pPr>
        <w:pStyle w:val="ListBullet"/>
        <w:spacing w:after="40"/>
        <w:ind w:left="432"/>
      </w:pPr>
      <w:r>
        <w:rPr>
          <w:rFonts w:ascii="Calibri" w:hAnsi="Calibri"/>
          <w:b w:val="0"/>
          <w:i w:val="0"/>
          <w:sz w:val="21"/>
        </w:rPr>
        <w:t>If they ask 'which one would you recommend for us?' — answer: 'That depends on what Phase 1 shows. What I can tell you is that in 89% of cases, the data leads to Option B or C — rarely A. But let the diagnosis guide it, not intuition.'</w:t>
      </w:r>
    </w:p>
    <w:p>
      <w:pPr>
        <w:spacing w:before="240" w:after="80"/>
      </w:pPr>
      <w:r>
        <w:rPr>
          <w:rFonts w:ascii="Calibri" w:hAnsi="Calibri"/>
          <w:b/>
          <w:i w:val="0"/>
          <w:color w:val="2563EB"/>
          <w:sz w:val="26"/>
        </w:rPr>
        <w:t>Step 5: Show the Business Case (10 minutes)</w:t>
      </w:r>
    </w:p>
    <w:p>
      <w:pPr>
        <w:spacing w:before="160" w:after="60"/>
      </w:pPr>
      <w:r>
        <w:rPr>
          <w:rFonts w:ascii="Calibri" w:hAnsi="Calibri"/>
          <w:b/>
          <w:i w:val="0"/>
          <w:color w:val="0F2D5E"/>
          <w:sz w:val="22"/>
        </w:rPr>
        <w:t>Script</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SCRIPT: 'Here is the business case we presented to the US Bank board. This is the document that went to the CFO and the CTO — not a consultant deck, a financial model built from their own data.</w:t>
              <w:br/>
              <w:br/>
              <w:t>[Show business case.]</w:t>
              <w:br/>
              <w:br/>
              <w:t>$3 million investment. $8.4 million per year in measured benefit. 14-month payback. $31.2 million 5-year NPV.</w:t>
              <w:br/>
              <w:br/>
              <w:t>The board approved it in a single session. Not because the presentation was compelling — because the data was irrefutable. It was their data.</w:t>
              <w:br/>
              <w:br/>
              <w:t>In 8 weeks, for $150,000, we will produce a business case like this for your organisation. Built from your ALM data. Benchmarked against your sector peers. With your CFO's inputs on investment appetite. That business case is what goes to your board. We make the case; you make the decision.'</w:t>
            </w:r>
          </w:p>
        </w:tc>
      </w:tr>
    </w:tbl>
    <w:p/>
    <w:p>
      <w:pPr>
        <w:spacing w:before="160" w:after="60"/>
      </w:pPr>
      <w:r>
        <w:rPr>
          <w:rFonts w:ascii="Calibri" w:hAnsi="Calibri"/>
          <w:b/>
          <w:i w:val="0"/>
          <w:color w:val="0F2D5E"/>
          <w:sz w:val="22"/>
        </w:rPr>
        <w:t>Presenter Notes — Business Case</w:t>
      </w:r>
    </w:p>
    <w:p>
      <w:pPr>
        <w:pStyle w:val="ListBullet"/>
        <w:spacing w:after="40"/>
        <w:ind w:left="432"/>
      </w:pPr>
      <w:r>
        <w:rPr>
          <w:rFonts w:ascii="Calibri" w:hAnsi="Calibri"/>
          <w:b w:val="0"/>
          <w:i w:val="0"/>
          <w:sz w:val="21"/>
        </w:rPr>
        <w:t>The '$150K for a $15M business case' framing is extremely powerful. Make it explicit: 'That's a 100-to-1 ratio on Phase 1 investment to opportunity identified.'</w:t>
      </w:r>
    </w:p>
    <w:p>
      <w:pPr>
        <w:pStyle w:val="ListBullet"/>
        <w:spacing w:after="40"/>
        <w:ind w:left="432"/>
      </w:pPr>
      <w:r>
        <w:rPr>
          <w:rFonts w:ascii="Calibri" w:hAnsi="Calibri"/>
          <w:b w:val="0"/>
          <w:i w:val="0"/>
          <w:sz w:val="21"/>
        </w:rPr>
        <w:t>Have the ROI Calculator (Doc 05) ready to hand out at this point. Invite them to estimate their own number during Phase 1 scoping.</w:t>
      </w:r>
    </w:p>
    <w:p>
      <w:pPr>
        <w:spacing w:before="240" w:after="80"/>
      </w:pPr>
      <w:r>
        <w:rPr>
          <w:rFonts w:ascii="Calibri" w:hAnsi="Calibri"/>
          <w:b/>
          <w:i w:val="0"/>
          <w:color w:val="2563EB"/>
          <w:sz w:val="26"/>
        </w:rPr>
        <w:t>Step 5a: Show Governance, Legacy &amp; AI Assurance (5 minutes)</w:t>
      </w:r>
    </w:p>
    <w:p>
      <w:pPr>
        <w:spacing w:before="160" w:after="60"/>
      </w:pPr>
      <w:r>
        <w:rPr>
          <w:rFonts w:ascii="Calibri" w:hAnsi="Calibri"/>
          <w:b/>
          <w:i w:val="0"/>
          <w:color w:val="0F2D5E"/>
          <w:sz w:val="22"/>
        </w:rPr>
        <w:t>Script</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SCRIPT: 'Before we talk about the business case, I want to show you three capabilities that differentiate this platform from anything else in this space — because they address the three questions every CTO and CRO ask before approving a transformation programme.</w:t>
              <w:br/>
              <w:br/>
              <w:t>[Show Governance &amp; Guardrails module.]</w:t>
              <w:br/>
              <w:br/>
              <w:t>First — governance. Every AI agent in Phase 2 and 3 operates within a configurable guardrail framework. You can see here the accountability matrix, the toggle controls, and the full audit log. This is what satisfies your internal audit team and, for FSI clients, the regulatory examiners.</w:t>
              <w:br/>
              <w:br/>
              <w:t>[Show Legacy Modernisation module.]</w:t>
              <w:br/>
              <w:br/>
              <w:t>Second — legacy. The single biggest barrier to transformation is brownfield complexity. This module assesses every legacy application for Knowledge Graph readiness, generates a modernisation strategy — replatform, reengineer, or decompose — and builds it into the overall transformation plan. You do not have to choose between transforming and managing legacy.</w:t>
              <w:br/>
              <w:br/>
              <w:t>[Show AI Assurance module.]</w:t>
              <w:br/>
              <w:br/>
              <w:t>Third — AI assurance. Every AI agent output is validated through a six-gate quality framework: hallucination rate, citation accuracy, bias monitoring, and drift detection. This is not optional governance theatre. It is how we guarantee the outputs that go to your board are defensible.'</w:t>
            </w:r>
          </w:p>
        </w:tc>
      </w:tr>
    </w:tbl>
    <w:p/>
    <w:p>
      <w:pPr>
        <w:spacing w:before="160" w:after="60"/>
      </w:pPr>
      <w:r>
        <w:rPr>
          <w:rFonts w:ascii="Calibri" w:hAnsi="Calibri"/>
          <w:b/>
          <w:i w:val="0"/>
          <w:color w:val="0F2D5E"/>
          <w:sz w:val="22"/>
        </w:rPr>
        <w:t>Presenter Notes — Governance &amp; New Modules</w:t>
      </w:r>
    </w:p>
    <w:p>
      <w:pPr>
        <w:pStyle w:val="ListBullet"/>
        <w:spacing w:after="40"/>
        <w:ind w:left="432"/>
      </w:pPr>
      <w:r>
        <w:rPr>
          <w:rFonts w:ascii="Calibri" w:hAnsi="Calibri"/>
          <w:b w:val="0"/>
          <w:i w:val="0"/>
          <w:sz w:val="21"/>
        </w:rPr>
        <w:t>These three modules are the answer to 'what about compliance?' and 'what about our legacy systems?' — the two most common reasons transformation programmes stall.</w:t>
      </w:r>
    </w:p>
    <w:p>
      <w:pPr>
        <w:pStyle w:val="ListBullet"/>
        <w:spacing w:after="40"/>
        <w:ind w:left="432"/>
      </w:pPr>
      <w:r>
        <w:rPr>
          <w:rFonts w:ascii="Calibri" w:hAnsi="Calibri"/>
          <w:b w:val="0"/>
          <w:i w:val="0"/>
          <w:sz w:val="21"/>
        </w:rPr>
        <w:t>The AI Assurance module is particularly powerful with regulated-industry audiences (banking, healthcare, insurance). Position it as your answer to the responsible AI mandate.</w:t>
      </w:r>
    </w:p>
    <w:p>
      <w:pPr>
        <w:pStyle w:val="ListBullet"/>
        <w:spacing w:after="40"/>
        <w:ind w:left="432"/>
      </w:pPr>
      <w:r>
        <w:rPr>
          <w:rFonts w:ascii="Calibri" w:hAnsi="Calibri"/>
          <w:b w:val="0"/>
          <w:i w:val="0"/>
          <w:sz w:val="21"/>
        </w:rPr>
        <w:t>If they ask about DORA (Digital Operational Resilience Act for EU FSI): 'The Governance &amp; Guardrails module is designed to produce the audit artefacts required under DORA Article 28-44. Your compliance team can map directly from this module to their regulatory obligations.'</w:t>
      </w:r>
    </w:p>
    <w:p>
      <w:pPr>
        <w:spacing w:before="240" w:after="80"/>
      </w:pPr>
      <w:r>
        <w:rPr>
          <w:rFonts w:ascii="Calibri" w:hAnsi="Calibri"/>
          <w:b/>
          <w:i w:val="0"/>
          <w:color w:val="2563EB"/>
          <w:sz w:val="26"/>
        </w:rPr>
        <w:t>Step 6: The Close (5 minutes)</w:t>
      </w:r>
    </w:p>
    <w:p>
      <w:pPr>
        <w:spacing w:before="160" w:after="60"/>
      </w:pPr>
      <w:r>
        <w:rPr>
          <w:rFonts w:ascii="Calibri" w:hAnsi="Calibri"/>
          <w:b/>
          <w:i w:val="0"/>
          <w:color w:val="0F2D5E"/>
          <w:sz w:val="22"/>
        </w:rPr>
        <w:t>Closing Script — Word for Word</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SCRIPT: 'Everything you've seen today — the VSM, the bottleneck cost, the business case — took our platform 2 weeks to produce for US Bank. Not 3 months. Not a team of analysts. 2 weeks from data connection to executive presentation.</w:t>
              <w:br/>
              <w:br/>
              <w:t>Here is what I'm proposing. In 8 weeks, for a fixed fee of $150,000, we connect to your ALM environment, generate your current state VSM, quantify your bottleneck cost, and present you with three transformation options — each with a business case ready for your board. If we don't identify at least $500,000 in annual savings, you don't pay the second half.</w:t>
              <w:br/>
              <w:br/>
              <w:t>We can have this showing YOUR data — from YOUR teams — starting in two weeks.</w:t>
              <w:br/>
              <w:br/>
              <w:t>Who do we need to involve to scope that engagement?'</w:t>
            </w:r>
          </w:p>
        </w:tc>
      </w:tr>
    </w:tbl>
    <w:p/>
    <w:p>
      <w:pPr>
        <w:spacing w:before="160" w:after="60"/>
      </w:pPr>
      <w:r>
        <w:rPr>
          <w:rFonts w:ascii="Calibri" w:hAnsi="Calibri"/>
          <w:b/>
          <w:i w:val="0"/>
          <w:color w:val="0F2D5E"/>
          <w:sz w:val="22"/>
        </w:rPr>
        <w:t>Presenter Notes — The Close</w:t>
      </w:r>
    </w:p>
    <w:p>
      <w:pPr>
        <w:pStyle w:val="ListBullet"/>
        <w:spacing w:after="40"/>
        <w:ind w:left="432"/>
      </w:pPr>
      <w:r>
        <w:rPr>
          <w:rFonts w:ascii="Calibri" w:hAnsi="Calibri"/>
          <w:b w:val="0"/>
          <w:i w:val="0"/>
          <w:sz w:val="21"/>
        </w:rPr>
        <w:t>The close is a question, not a statement. 'Who do we need to involve?' moves to next steps without requiring a yes/no decision.</w:t>
      </w:r>
    </w:p>
    <w:p>
      <w:pPr>
        <w:pStyle w:val="ListBullet"/>
        <w:spacing w:after="40"/>
        <w:ind w:left="432"/>
      </w:pPr>
      <w:r>
        <w:rPr>
          <w:rFonts w:ascii="Calibri" w:hAnsi="Calibri"/>
          <w:b w:val="0"/>
          <w:i w:val="0"/>
          <w:sz w:val="21"/>
        </w:rPr>
        <w:t>The $500K savings guarantee removes the last barrier. Do not over-explain it — state it once, clearly.</w:t>
      </w:r>
    </w:p>
    <w:p>
      <w:pPr>
        <w:pStyle w:val="ListBullet"/>
        <w:spacing w:after="40"/>
        <w:ind w:left="432"/>
      </w:pPr>
      <w:r>
        <w:rPr>
          <w:rFonts w:ascii="Calibri" w:hAnsi="Calibri"/>
          <w:b w:val="0"/>
          <w:i w:val="0"/>
          <w:sz w:val="21"/>
        </w:rPr>
        <w:t>If they say 'we need to think about it' — offer to send the Service Brief (Doc 03) and schedule a follow-up with the CFO.</w:t>
      </w:r>
    </w:p>
    <w:p>
      <w:pPr>
        <w:spacing w:before="60" w:after="60"/>
        <w:pBdr>
          <w:bottom w:val="single" w:sz="6" w:space="1" w:color="2563EB"/>
        </w:pBdr>
      </w:pPr>
    </w:p>
    <w:p>
      <w:pPr>
        <w:spacing w:before="400" w:after="120"/>
      </w:pPr>
      <w:r>
        <w:rPr>
          <w:rFonts w:ascii="Calibri" w:hAnsi="Calibri"/>
          <w:b/>
          <w:i w:val="0"/>
          <w:color w:val="0F2D5E"/>
          <w:sz w:val="32"/>
        </w:rPr>
        <w:t>Expected Questions and Objection Handling</w:t>
      </w:r>
    </w:p>
    <w:p>
      <w:pPr>
        <w:spacing w:before="240" w:after="80"/>
      </w:pPr>
      <w:r>
        <w:rPr>
          <w:rFonts w:ascii="Calibri" w:hAnsi="Calibri"/>
          <w:b/>
          <w:i w:val="0"/>
          <w:color w:val="2563EB"/>
          <w:sz w:val="26"/>
        </w:rPr>
        <w:t>Objection: 'We've done value stream mapping before and it took 4 months and produced nothing actionable.'</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RESPONSE: 'I hear this often, and I understand the scepticism. Traditional VSM is a workshop process — it takes months because the data collection is manual, and the output is often too high-level to drive decisions. What we do is different: the VSM is generated from your ALM data in 48 hours, which means every number is real and traceable. The reason prior VSMs produced nothing actionable is usually that they were based on estimates rather than measurements. Ours are not.'</w:t>
            </w:r>
          </w:p>
        </w:tc>
      </w:tr>
    </w:tbl>
    <w:p/>
    <w:p>
      <w:pPr>
        <w:spacing w:before="240" w:after="80"/>
      </w:pPr>
      <w:r>
        <w:rPr>
          <w:rFonts w:ascii="Calibri" w:hAnsi="Calibri"/>
          <w:b/>
          <w:i w:val="0"/>
          <w:color w:val="2563EB"/>
          <w:sz w:val="26"/>
        </w:rPr>
        <w:t>Objection: 'Our engineers are already using Copilot / GitHub AI tools — we're already doing this.'</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RESPONSE: 'Good — that means you're already at Option A. What we'd show you in Phase 1 is whether those tools are actually moving your lead time and flow efficiency metrics at the system level. Most organisations that have adopted AI tools at the team level see local productivity gains but flat or even increasing lead time — because the bottleneck has shifted to a different step. The diagnosis tells you where the next constraint is. That's the foundation for Option B.'</w:t>
            </w:r>
          </w:p>
        </w:tc>
      </w:tr>
    </w:tbl>
    <w:p/>
    <w:p>
      <w:pPr>
        <w:spacing w:before="240" w:after="80"/>
      </w:pPr>
      <w:r>
        <w:rPr>
          <w:rFonts w:ascii="Calibri" w:hAnsi="Calibri"/>
          <w:b/>
          <w:i w:val="0"/>
          <w:color w:val="2563EB"/>
          <w:sz w:val="26"/>
        </w:rPr>
        <w:t>Objection: '$150K is expensive for a diagnostic.'</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RESPONSE: 'Let me offer a different frame. If your bottleneck cost is $8 million per year — which is roughly the median for a 150+ FTE engineering team in your sector — then $150K is less than 2% of the annual cost of the problem you're already paying. And if we don't find at least $500K in annual savings, the second payment is waived. The diagnostic does not add cost to your transformation. It reduces the risk of misallocating the programme budget on the wrong bottleneck.'</w:t>
            </w:r>
          </w:p>
        </w:tc>
      </w:tr>
    </w:tbl>
    <w:p/>
    <w:p>
      <w:pPr>
        <w:spacing w:before="240" w:after="80"/>
      </w:pPr>
      <w:r>
        <w:rPr>
          <w:rFonts w:ascii="Calibri" w:hAnsi="Calibri"/>
          <w:b/>
          <w:i w:val="0"/>
          <w:color w:val="2563EB"/>
          <w:sz w:val="26"/>
        </w:rPr>
        <w:t>Objection: 'How do we know the AI agents in Option B are compliant with our audit requirements?'</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RESPONSE: 'This is the right question — and it's exactly what the governance design in Phase 2 is built around. Option B's model is explicitly designed for environments with audit and regulatory requirements: AI agents execute, humans approve at defined gates, and every action is logged with a full audit trail. US Bank's Chief Risk Officer signed off on this architecture specifically because it met their internal audit requirements. In Phase 1, we include a governance fit assessment as part of the three-option business case.'</w:t>
            </w:r>
          </w:p>
        </w:tc>
      </w:tr>
    </w:tbl>
    <w:p/>
    <w:p>
      <w:pPr>
        <w:spacing w:before="240" w:after="80"/>
      </w:pPr>
      <w:r>
        <w:rPr>
          <w:rFonts w:ascii="Calibri" w:hAnsi="Calibri"/>
          <w:b/>
          <w:i w:val="0"/>
          <w:color w:val="2563EB"/>
          <w:sz w:val="26"/>
        </w:rPr>
        <w:t>Objection: 'What happens if the transformation programme doesn't deliver?'</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RESPONSE: 'Every programme includes a 30% at-risk component tied to measured outcomes. If we don't hit the projected ROI at 12 months, 30% of our fee is returned. We have never triggered that clause — but it exists because we want to share the outcome risk, not just the opportunity. And the measurement comes from the same data source as the Phase 1 baseline, so there is no ambiguity about whether the target was hit.'</w:t>
            </w:r>
          </w:p>
        </w:tc>
      </w:tr>
    </w:tbl>
    <w:p/>
    <w:p>
      <w:pPr>
        <w:spacing w:before="240" w:after="80"/>
      </w:pPr>
      <w:r>
        <w:rPr>
          <w:rFonts w:ascii="Calibri" w:hAnsi="Calibri"/>
          <w:b/>
          <w:i w:val="0"/>
          <w:color w:val="2563EB"/>
          <w:sz w:val="26"/>
        </w:rPr>
        <w:t>Objection: 'We have significant legacy systems — this sounds like it only works for greenfield teams.'</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RESPONSE: 'The Legacy Modernisation module is built specifically for brownfield environments. Before any AI agent is deployed, the platform performs a Knowledge Graph readiness assessment on your existing application portfolio — scoring each system for coupling, testability, API surface, and documentation. The output is a per-application modernisation strategy: which systems should be replatformed, which reengineered, and which are candidates for agentic decomposition. The transformation plan is built around your reality, not an assumed greenfield state. Typically, 20% of legacy systems are transformation blockers — the platform identifies them in Phase 1 so you are never surprised in Phase 3.'</w:t>
            </w:r>
          </w:p>
        </w:tc>
      </w:tr>
    </w:tbl>
    <w:p/>
    <w:p>
      <w:pPr>
        <w:spacing w:before="240" w:after="80"/>
      </w:pPr>
      <w:r>
        <w:rPr>
          <w:rFonts w:ascii="Calibri" w:hAnsi="Calibri"/>
          <w:b/>
          <w:i w:val="0"/>
          <w:color w:val="2563EB"/>
          <w:sz w:val="26"/>
        </w:rPr>
        <w:t>Objection: 'What about Responsible AI — how do we satisfy our ethics board and regulators?'</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RESPONSE: 'STUMP includes a dedicated Governance &amp; Guardrails module and an AI Assurance module built around four dimensions of responsible AI: transparency, accountability, fairness, and security. Every agent has a named human owner, a defined risk classification, and an audit trail. The AI Assurance module runs six validation gates per agent output — including hallucination rate monitoring, bias detection, and citation accuracy. For FSI clients: this architecture maps directly to DORA Article 28-44 compliance obligations. We include a Responsible AI scorecard in Phase 1 so your ethics and compliance teams see the governance framework before Phase 2 begins.'</w:t>
            </w:r>
          </w:p>
        </w:tc>
      </w:tr>
    </w:tbl>
    <w:p/>
    <w:p>
      <w:pPr>
        <w:spacing w:before="240" w:after="80"/>
      </w:pPr>
      <w:r>
        <w:rPr>
          <w:rFonts w:ascii="Calibri" w:hAnsi="Calibri"/>
          <w:b/>
          <w:i w:val="0"/>
          <w:color w:val="2563EB"/>
          <w:sz w:val="26"/>
        </w:rPr>
        <w:t>Objection: 'How do you handle the human impact — people are worried about their roles?'</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RESPONSE: 'The Transformation Readiness module addresses this directly. It does two things. First, it assesses organisational readiness across five dimensions — culture, process, technology, data, and governance — before Phase 3 begins, so we know where the change resistance will be highest. Second, it models the role evolution for each of the seven PDLC phases: from current human roles, through AI-augmented roles in Options A/B, to autonomous-supervised roles in Option C. Most teams discover that AI eliminates the tasks engineers hate most — manual testing, repetitive code review, meeting scheduling — and creates capacity for the design and architecture work engineers value most. That story, told with data from your own team, is the most effective change management asset we produce.'</w:t>
            </w:r>
          </w:p>
        </w:tc>
      </w:tr>
    </w:tbl>
    <w:p/>
    <w:p>
      <w:pPr>
        <w:spacing w:before="60" w:after="60"/>
        <w:pBdr>
          <w:bottom w:val="single" w:sz="6" w:space="1" w:color="2563EB"/>
        </w:pBdr>
      </w:pPr>
    </w:p>
    <w:p>
      <w:pPr>
        <w:spacing w:before="400" w:after="120"/>
      </w:pPr>
      <w:r>
        <w:rPr>
          <w:rFonts w:ascii="Calibri" w:hAnsi="Calibri"/>
          <w:b/>
          <w:i w:val="0"/>
          <w:color w:val="0F2D5E"/>
          <w:sz w:val="32"/>
        </w:rPr>
        <w:t>Leave-Behinds</w:t>
      </w:r>
    </w:p>
    <w:p>
      <w:pPr>
        <w:spacing w:after="80"/>
      </w:pPr>
      <w:r>
        <w:rPr>
          <w:rFonts w:ascii="Calibri" w:hAnsi="Calibri"/>
          <w:b w:val="0"/>
          <w:i w:val="0"/>
          <w:sz w:val="21"/>
        </w:rPr>
        <w:t>At the end of the demo, leave the following printed documents:</w:t>
      </w:r>
    </w:p>
    <w:p>
      <w:pPr>
        <w:pStyle w:val="ListNumber"/>
        <w:spacing w:after="40"/>
        <w:ind w:left="432"/>
      </w:pPr>
      <w:r>
        <w:rPr>
          <w:rFonts w:ascii="Calibri" w:hAnsi="Calibri"/>
          <w:b w:val="0"/>
          <w:i w:val="0"/>
          <w:sz w:val="21"/>
        </w:rPr>
        <w:t>Service Brief One-Pager (Doc 03) — the offering in one page</w:t>
      </w:r>
    </w:p>
    <w:p>
      <w:pPr>
        <w:pStyle w:val="ListNumber"/>
        <w:spacing w:after="40"/>
        <w:ind w:left="432"/>
      </w:pPr>
      <w:r>
        <w:rPr>
          <w:rFonts w:ascii="Calibri" w:hAnsi="Calibri"/>
          <w:b w:val="0"/>
          <w:i w:val="0"/>
          <w:sz w:val="21"/>
        </w:rPr>
        <w:t>ROI Calculator Guide (Doc 05) — let them estimate their own number</w:t>
      </w:r>
    </w:p>
    <w:p>
      <w:pPr>
        <w:pStyle w:val="ListNumber"/>
        <w:spacing w:after="40"/>
        <w:ind w:left="432"/>
      </w:pPr>
      <w:r>
        <w:rPr>
          <w:rFonts w:ascii="Calibri" w:hAnsi="Calibri"/>
          <w:b w:val="0"/>
          <w:i w:val="0"/>
          <w:sz w:val="21"/>
        </w:rPr>
        <w:t>Case Study: US Bank (Doc 07) — the proof point they can share internally</w:t>
      </w:r>
    </w:p>
    <w:p>
      <w:pPr>
        <w:spacing w:after="80"/>
      </w:pPr>
      <w:r>
        <w:rPr>
          <w:rFonts w:ascii="Calibri" w:hAnsi="Calibri"/>
          <w:b w:val="0"/>
          <w:i w:val="0"/>
          <w:sz w:val="21"/>
        </w:rPr>
        <w:t>Follow up within 24 hours with a scoping meeting invitation. The scoping meeting should involve the economic buyer (CTO or CFO) and should be 45 minutes. Its output is a signed Phase 1 engagement letter.</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Final note for the presenter: The demo works when you are genuinely curious about the client's situation. The opening question, the bottleneck cost reveal, and the close are all designed to create dialogue — not to deliver a monologue. The best demos are 40% presenter, 60% client talking about their pain. That is when the close is inevitable.</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