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Project Charter</w:t>
      </w:r>
    </w:p>
    <w:p>
      <w:r>
        <w:rPr>
          <w:rFonts w:ascii="Calibri" w:hAnsi="Calibri"/>
          <w:b w:val="0"/>
          <w:i/>
          <w:color w:val="2563EB"/>
          <w:sz w:val="24"/>
        </w:rPr>
        <w:t>AI-Powered PDLC VSM Pilot Engagement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DOC-SET2-12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Project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79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Name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PDLC VSM Platform — AI Pilot Engagement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Organisation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[CLIENT NAME]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Sponsor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[SPONSOR NAME], [TITLE]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Manager (Pilot Lead)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[PILOT LEAD NAME]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Project Lead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[CLIENT LEAD NAME], [TITLE]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Start Date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[START DATE]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 Date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[START DATE + 8 weeks]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Budget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$150,000 (fixed fee)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Classification</w:t>
            </w:r>
          </w:p>
        </w:tc>
        <w:tc>
          <w:tcPr>
            <w:tcW w:type="dxa" w:w="79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Project Objectives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Quantify the current state software delivery lead time and flow efficiency using the client's existing ALM data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Identify the top 3–5 value stream bottlenecks with quantified waste hours and peer benchmark comparisons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Generate a ranked AI improvement roadmap (Quick Wins / Medium-term / Strategic) with ROI estimates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Produce a board-ready business case across three investment scenarios (Conservative / Expected / Optimistic)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Conduct a 73-question DORA maturity assessment across Continuous Integration, Deployment, Testing, and Culture dimensions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Transfer platform capability to the client team via training and documentation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Scope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In Scope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One ALM data source (Jira or Azure DevOps)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One product group / team (up to 5,000 tickets, 18 months history)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Four DORA data sources (Jira, Confluence, Sonar, GitHub)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Eight AI agent runs (VSM Analyzer, DORA Assessment, Benchmark, Bottleneck, Improvement, Future State, Business Case, Playbook)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One executive readout deck (15 slides, client-branded)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One action plan (up to 30 items)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Three implementation playbooks (one per future-state scenario)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One knowledge transfer session (60 minutes)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30-day post-pilot support (email, named contact)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Out of Scope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Implementation of any improvement initiative (delivery is separate engagement)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Integration with ITSM, monitoring, or CI/CD tooling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More than one product group per pilot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Custom AI agent development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Data migration or ALM re-configuration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Governance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Responsibility</w:t>
            </w:r>
          </w:p>
        </w:tc>
        <w:tc>
          <w:tcPr>
            <w:tcW w:type="dxa" w:w="201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Availability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Sponsor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[SPONSOR]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Overall approval, executive access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2h/week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Project Lead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[LEAD]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access, stakeholder coordination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4h/week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Administrator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[ADMIN]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setup, IT access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8h Week 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SME (×2)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[NAMES]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validation, VSM review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2h/week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 (our team)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[PILOT LEAD]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configuration, analysis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Full-time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Delivery Analyst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[ANALYST]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QA, documentation, reporting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Full-time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Meetings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Meeting</w:t>
            </w:r>
          </w:p>
        </w:tc>
        <w:tc>
          <w:tcPr>
            <w:tcW w:type="dxa" w:w="2304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Frequency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Attendees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Kick-off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1 (once)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90 min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stakeholders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Alignment, platform demo, data planning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 Status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 (Weeks 2–7)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Leads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Progress, risks, actions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Review</w:t>
            </w:r>
          </w:p>
        </w:tc>
        <w:tc>
          <w:tcPr>
            <w:tcW w:type="dxa" w:w="2304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End of each phase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+ Leads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Deliverable sign-off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Readout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ELT / Board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Final findings + next steps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Success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Measure</w:t>
            </w:r>
          </w:p>
        </w:tc>
        <w:tc>
          <w:tcPr>
            <w:tcW w:type="dxa" w:w="50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onboarding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ALM tickets loaded and mapped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 of target ticket set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accuracy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within ±10% of manual audit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Validated by client engineer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identification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Number of bottlenecks found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Minimum 3 critical/high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Savings identification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savings opportunity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Minimum $500,000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quality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 readability score (1-5)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Score ≥4 from sponsor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Training completion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 certified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 of named admins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Change Control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Any change to scope, budget, or timeline requires a Change Request signed by both the Project Sponsor and Pilot Lead. Changes to deliverables require 5 business days' notice. Out-of-scope work will be quoted separately before commencement.</w:t>
      </w:r>
    </w:p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Project Sponsor Signature: ___________________________   Date: _______________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Pilot Lead Signature: ___________________________   Date: 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