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libri" w:hAnsi="Calibri"/>
          <w:b/>
          <w:i w:val="0"/>
          <w:color w:val="2563EB"/>
          <w:sz w:val="26"/>
        </w:rPr>
        <w:t>PDLC VSM Platform</w:t>
      </w:r>
    </w:p>
    <w:p>
      <w:r>
        <w:rPr>
          <w:rFonts w:ascii="Calibri" w:hAnsi="Calibri"/>
          <w:b w:val="0"/>
          <w:i w:val="0"/>
          <w:color w:val="0F2D5E"/>
          <w:sz w:val="22"/>
        </w:rPr>
        <w:t>GTM Pack — Set 2: Pilot Engagement Pack</w:t>
      </w:r>
    </w:p>
    <w:p/>
    <w:p>
      <w:r>
        <w:rPr>
          <w:rFonts w:ascii="Calibri" w:hAnsi="Calibri"/>
          <w:b/>
          <w:i w:val="0"/>
          <w:color w:val="0F2D5E"/>
          <w:sz w:val="44"/>
        </w:rPr>
        <w:t>AI Evidence Protocol</w:t>
      </w:r>
    </w:p>
    <w:p>
      <w:r>
        <w:rPr>
          <w:rFonts w:ascii="Calibri" w:hAnsi="Calibri"/>
          <w:b w:val="0"/>
          <w:i/>
          <w:color w:val="2563EB"/>
          <w:sz w:val="24"/>
        </w:rPr>
        <w:t>Standards for Validating, Citing, and Auditing AI Agent Outputs</w:t>
      </w:r>
    </w:p>
    <w:p/>
    <w:p/>
    <w:p>
      <w:pPr>
        <w:spacing w:before="120" w:after="120"/>
        <w:pBdr>
          <w:bottom w:val="single" w:sz="6" w:space="1" w:color="2563EB"/>
        </w:pBdr>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F2D5E"/>
          </w:tcPr>
          <w:p>
            <w:pPr>
              <w:jc w:val="center"/>
            </w:pPr>
            <w:r>
              <w:rPr>
                <w:rFonts w:ascii="Calibri" w:hAnsi="Calibri"/>
                <w:b/>
                <w:i w:val="0"/>
                <w:color w:val="FFFFFF"/>
                <w:sz w:val="19"/>
              </w:rPr>
              <w:t>Document</w:t>
            </w:r>
          </w:p>
        </w:tc>
        <w:tc>
          <w:tcPr>
            <w:tcW w:type="dxa" w:w="2351"/>
            <w:shd w:val="clear" w:color="auto" w:fill="0F2D5E"/>
          </w:tcPr>
          <w:p>
            <w:pPr>
              <w:jc w:val="center"/>
            </w:pPr>
            <w:r>
              <w:rPr>
                <w:rFonts w:ascii="Calibri" w:hAnsi="Calibri"/>
                <w:b/>
                <w:i w:val="0"/>
                <w:color w:val="FFFFFF"/>
                <w:sz w:val="19"/>
              </w:rPr>
              <w:t>Version</w:t>
            </w:r>
          </w:p>
        </w:tc>
        <w:tc>
          <w:tcPr>
            <w:tcW w:type="dxa" w:w="2351"/>
            <w:shd w:val="clear" w:color="auto" w:fill="0F2D5E"/>
          </w:tcPr>
          <w:p>
            <w:pPr>
              <w:jc w:val="center"/>
            </w:pPr>
            <w:r>
              <w:rPr>
                <w:rFonts w:ascii="Calibri" w:hAnsi="Calibri"/>
                <w:b/>
                <w:i w:val="0"/>
                <w:color w:val="FFFFFF"/>
                <w:sz w:val="19"/>
              </w:rPr>
              <w:t>Date</w:t>
            </w:r>
          </w:p>
        </w:tc>
        <w:tc>
          <w:tcPr>
            <w:tcW w:type="dxa" w:w="2351"/>
            <w:shd w:val="clear" w:color="auto" w:fill="0F2D5E"/>
          </w:tcPr>
          <w:p>
            <w:pPr>
              <w:jc w:val="center"/>
            </w:pPr>
            <w:r>
              <w:rPr>
                <w:rFonts w:ascii="Calibri" w:hAnsi="Calibri"/>
                <w:b/>
                <w:i w:val="0"/>
                <w:color w:val="FFFFFF"/>
                <w:sz w:val="19"/>
              </w:rPr>
              <w:t>Classification</w:t>
            </w:r>
          </w:p>
        </w:tc>
      </w:tr>
      <w:tr>
        <w:tc>
          <w:tcPr>
            <w:tcW w:type="dxa" w:w="2351"/>
            <w:shd w:val="clear" w:color="auto" w:fill="EFF6FF"/>
          </w:tcPr>
          <w:p>
            <w:r>
              <w:rPr>
                <w:rFonts w:ascii="Calibri" w:hAnsi="Calibri"/>
                <w:b w:val="0"/>
                <w:i w:val="0"/>
                <w:sz w:val="19"/>
              </w:rPr>
              <w:t>DOC-SET2-18</w:t>
            </w:r>
          </w:p>
        </w:tc>
        <w:tc>
          <w:tcPr>
            <w:tcW w:type="dxa" w:w="2351"/>
            <w:shd w:val="clear" w:color="auto" w:fill="EFF6FF"/>
          </w:tcPr>
          <w:p>
            <w:r>
              <w:rPr>
                <w:rFonts w:ascii="Calibri" w:hAnsi="Calibri"/>
                <w:b w:val="0"/>
                <w:i w:val="0"/>
                <w:sz w:val="19"/>
              </w:rPr>
              <w:t>v1.0</w:t>
            </w:r>
          </w:p>
        </w:tc>
        <w:tc>
          <w:tcPr>
            <w:tcW w:type="dxa" w:w="2351"/>
            <w:shd w:val="clear" w:color="auto" w:fill="EFF6FF"/>
          </w:tcPr>
          <w:p>
            <w:r>
              <w:rPr>
                <w:rFonts w:ascii="Calibri" w:hAnsi="Calibri"/>
                <w:b w:val="0"/>
                <w:i w:val="0"/>
                <w:sz w:val="19"/>
              </w:rPr>
              <w:t>March 2026</w:t>
            </w:r>
          </w:p>
        </w:tc>
        <w:tc>
          <w:tcPr>
            <w:tcW w:type="dxa" w:w="2351"/>
            <w:shd w:val="clear" w:color="auto" w:fill="EFF6FF"/>
          </w:tcPr>
          <w:p>
            <w:r>
              <w:rPr>
                <w:rFonts w:ascii="Calibri" w:hAnsi="Calibri"/>
                <w:b w:val="0"/>
                <w:i w:val="0"/>
                <w:sz w:val="19"/>
              </w:rPr>
              <w:t>Commercial Confidential</w:t>
            </w:r>
          </w:p>
        </w:tc>
      </w:tr>
    </w:tbl>
    <w:p/>
    <w:p>
      <w:r>
        <w:br w:type="page"/>
      </w:r>
    </w:p>
    <w:p>
      <w:pPr>
        <w:spacing w:before="280" w:after="80"/>
      </w:pPr>
      <w:r>
        <w:rPr>
          <w:rFonts w:ascii="Calibri" w:hAnsi="Calibri"/>
          <w:b/>
          <w:i w:val="0"/>
          <w:color w:val="0F2D5E"/>
          <w:sz w:val="32"/>
        </w:rPr>
        <w:t>Purpose</w:t>
      </w:r>
    </w:p>
    <w:p>
      <w:pPr>
        <w:spacing w:after="80"/>
      </w:pPr>
      <w:r>
        <w:rPr>
          <w:rFonts w:ascii="Calibri" w:hAnsi="Calibri"/>
          <w:b w:val="0"/>
          <w:i w:val="0"/>
          <w:sz w:val="21"/>
        </w:rPr>
        <w:t>This protocol establishes the standards for validating, citing, and auditing all outputs produced by PDLC VSM Platform AI agents. It ensures that findings presented to executive stakeholders are defensible, traceable to source data, and appropriately caveated where AI confidence is lower.</w:t>
      </w:r>
    </w:p>
    <w:p>
      <w:pPr>
        <w:spacing w:before="120" w:after="120"/>
        <w:ind w:left="480" w:right="480"/>
        <w:shd w:val="clear" w:color="auto" w:fill="DBEAFE"/>
      </w:pPr>
      <w:r>
        <w:rPr>
          <w:rFonts w:ascii="Calibri" w:hAnsi="Calibri"/>
          <w:b w:val="0"/>
          <w:i/>
          <w:color w:val="0F2D5E"/>
          <w:sz w:val="21"/>
        </w:rPr>
        <w:t>Principle: Every material finding must be traceable to either (a) the client's own ALM data, (b) a published industry benchmark, or (c) a peer-validated AI inference with confidence score ≥ 0.7.</w:t>
      </w:r>
    </w:p>
    <w:p>
      <w:pPr>
        <w:spacing w:before="280" w:after="80"/>
      </w:pPr>
      <w:r>
        <w:rPr>
          <w:rFonts w:ascii="Calibri" w:hAnsi="Calibri"/>
          <w:b/>
          <w:i w:val="0"/>
          <w:color w:val="0F2D5E"/>
          <w:sz w:val="32"/>
        </w:rPr>
        <w:t>Evidence Classification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440"/>
            <w:shd w:val="clear" w:color="auto" w:fill="0F2D5E"/>
          </w:tcPr>
          <w:p>
            <w:pPr>
              <w:jc w:val="center"/>
            </w:pPr>
            <w:r>
              <w:rPr>
                <w:rFonts w:ascii="Calibri" w:hAnsi="Calibri"/>
                <w:b/>
                <w:i w:val="0"/>
                <w:color w:val="FFFFFF"/>
                <w:sz w:val="19"/>
              </w:rPr>
              <w:t>Class</w:t>
            </w:r>
          </w:p>
        </w:tc>
        <w:tc>
          <w:tcPr>
            <w:tcW w:type="dxa" w:w="2592"/>
            <w:shd w:val="clear" w:color="auto" w:fill="0F2D5E"/>
          </w:tcPr>
          <w:p>
            <w:pPr>
              <w:jc w:val="center"/>
            </w:pPr>
            <w:r>
              <w:rPr>
                <w:rFonts w:ascii="Calibri" w:hAnsi="Calibri"/>
                <w:b/>
                <w:i w:val="0"/>
                <w:color w:val="FFFFFF"/>
                <w:sz w:val="19"/>
              </w:rPr>
              <w:t>Label</w:t>
            </w:r>
          </w:p>
        </w:tc>
        <w:tc>
          <w:tcPr>
            <w:tcW w:type="dxa" w:w="5328"/>
            <w:shd w:val="clear" w:color="auto" w:fill="0F2D5E"/>
          </w:tcPr>
          <w:p>
            <w:pPr>
              <w:jc w:val="center"/>
            </w:pPr>
            <w:r>
              <w:rPr>
                <w:rFonts w:ascii="Calibri" w:hAnsi="Calibri"/>
                <w:b/>
                <w:i w:val="0"/>
                <w:color w:val="FFFFFF"/>
                <w:sz w:val="19"/>
              </w:rPr>
              <w:t>Definition</w:t>
            </w:r>
          </w:p>
        </w:tc>
        <w:tc>
          <w:tcPr>
            <w:tcW w:type="dxa" w:w="4320"/>
            <w:shd w:val="clear" w:color="auto" w:fill="0F2D5E"/>
          </w:tcPr>
          <w:p>
            <w:pPr>
              <w:jc w:val="center"/>
            </w:pPr>
            <w:r>
              <w:rPr>
                <w:rFonts w:ascii="Calibri" w:hAnsi="Calibri"/>
                <w:b/>
                <w:i w:val="0"/>
                <w:color w:val="FFFFFF"/>
                <w:sz w:val="19"/>
              </w:rPr>
              <w:t>Requires</w:t>
            </w:r>
          </w:p>
        </w:tc>
      </w:tr>
      <w:tr>
        <w:tc>
          <w:tcPr>
            <w:tcW w:type="dxa" w:w="1440"/>
            <w:shd w:val="clear" w:color="auto" w:fill="EFF6FF"/>
          </w:tcPr>
          <w:p>
            <w:r>
              <w:rPr>
                <w:rFonts w:ascii="Calibri" w:hAnsi="Calibri"/>
                <w:b w:val="0"/>
                <w:i w:val="0"/>
                <w:sz w:val="19"/>
              </w:rPr>
              <w:t>Class 1</w:t>
            </w:r>
          </w:p>
        </w:tc>
        <w:tc>
          <w:tcPr>
            <w:tcW w:type="dxa" w:w="2592"/>
            <w:shd w:val="clear" w:color="auto" w:fill="EFF6FF"/>
          </w:tcPr>
          <w:p>
            <w:r>
              <w:rPr>
                <w:rFonts w:ascii="Calibri" w:hAnsi="Calibri"/>
                <w:b w:val="0"/>
                <w:i w:val="0"/>
                <w:sz w:val="19"/>
              </w:rPr>
              <w:t>Data-Derived</w:t>
            </w:r>
          </w:p>
        </w:tc>
        <w:tc>
          <w:tcPr>
            <w:tcW w:type="dxa" w:w="5328"/>
            <w:shd w:val="clear" w:color="auto" w:fill="EFF6FF"/>
          </w:tcPr>
          <w:p>
            <w:r>
              <w:rPr>
                <w:rFonts w:ascii="Calibri" w:hAnsi="Calibri"/>
                <w:b w:val="0"/>
                <w:i w:val="0"/>
                <w:sz w:val="19"/>
              </w:rPr>
              <w:t>Directly computed from client ALM data with no AI inference</w:t>
            </w:r>
          </w:p>
        </w:tc>
        <w:tc>
          <w:tcPr>
            <w:tcW w:type="dxa" w:w="4320"/>
            <w:shd w:val="clear" w:color="auto" w:fill="EFF6FF"/>
          </w:tcPr>
          <w:p>
            <w:r>
              <w:rPr>
                <w:rFonts w:ascii="Calibri" w:hAnsi="Calibri"/>
                <w:b w:val="0"/>
                <w:i w:val="0"/>
                <w:sz w:val="19"/>
              </w:rPr>
              <w:t>Source ticket count, date range</w:t>
            </w:r>
          </w:p>
        </w:tc>
      </w:tr>
      <w:tr>
        <w:tc>
          <w:tcPr>
            <w:tcW w:type="dxa" w:w="1440"/>
          </w:tcPr>
          <w:p>
            <w:r>
              <w:rPr>
                <w:rFonts w:ascii="Calibri" w:hAnsi="Calibri"/>
                <w:b w:val="0"/>
                <w:i w:val="0"/>
                <w:sz w:val="19"/>
              </w:rPr>
              <w:t>Class 2</w:t>
            </w:r>
          </w:p>
        </w:tc>
        <w:tc>
          <w:tcPr>
            <w:tcW w:type="dxa" w:w="2592"/>
          </w:tcPr>
          <w:p>
            <w:r>
              <w:rPr>
                <w:rFonts w:ascii="Calibri" w:hAnsi="Calibri"/>
                <w:b w:val="0"/>
                <w:i w:val="0"/>
                <w:sz w:val="19"/>
              </w:rPr>
              <w:t>AI-Inferred</w:t>
            </w:r>
          </w:p>
        </w:tc>
        <w:tc>
          <w:tcPr>
            <w:tcW w:type="dxa" w:w="5328"/>
          </w:tcPr>
          <w:p>
            <w:r>
              <w:rPr>
                <w:rFonts w:ascii="Calibri" w:hAnsi="Calibri"/>
                <w:b w:val="0"/>
                <w:i w:val="0"/>
                <w:sz w:val="19"/>
              </w:rPr>
              <w:t>AI agent output with high confidence (≥0.8)</w:t>
            </w:r>
          </w:p>
        </w:tc>
        <w:tc>
          <w:tcPr>
            <w:tcW w:type="dxa" w:w="4320"/>
          </w:tcPr>
          <w:p>
            <w:r>
              <w:rPr>
                <w:rFonts w:ascii="Calibri" w:hAnsi="Calibri"/>
                <w:b w:val="0"/>
                <w:i w:val="0"/>
                <w:sz w:val="19"/>
              </w:rPr>
              <w:t>Confidence score, source agent</w:t>
            </w:r>
          </w:p>
        </w:tc>
      </w:tr>
      <w:tr>
        <w:tc>
          <w:tcPr>
            <w:tcW w:type="dxa" w:w="1440"/>
            <w:shd w:val="clear" w:color="auto" w:fill="EFF6FF"/>
          </w:tcPr>
          <w:p>
            <w:r>
              <w:rPr>
                <w:rFonts w:ascii="Calibri" w:hAnsi="Calibri"/>
                <w:b w:val="0"/>
                <w:i w:val="0"/>
                <w:sz w:val="19"/>
              </w:rPr>
              <w:t>Class 3</w:t>
            </w:r>
          </w:p>
        </w:tc>
        <w:tc>
          <w:tcPr>
            <w:tcW w:type="dxa" w:w="2592"/>
            <w:shd w:val="clear" w:color="auto" w:fill="EFF6FF"/>
          </w:tcPr>
          <w:p>
            <w:r>
              <w:rPr>
                <w:rFonts w:ascii="Calibri" w:hAnsi="Calibri"/>
                <w:b w:val="0"/>
                <w:i w:val="0"/>
                <w:sz w:val="19"/>
              </w:rPr>
              <w:t>Benchmark-Grounded</w:t>
            </w:r>
          </w:p>
        </w:tc>
        <w:tc>
          <w:tcPr>
            <w:tcW w:type="dxa" w:w="5328"/>
            <w:shd w:val="clear" w:color="auto" w:fill="EFF6FF"/>
          </w:tcPr>
          <w:p>
            <w:r>
              <w:rPr>
                <w:rFonts w:ascii="Calibri" w:hAnsi="Calibri"/>
                <w:b w:val="0"/>
                <w:i w:val="0"/>
                <w:sz w:val="19"/>
              </w:rPr>
              <w:t>Comparison to published or platform benchmark database</w:t>
            </w:r>
          </w:p>
        </w:tc>
        <w:tc>
          <w:tcPr>
            <w:tcW w:type="dxa" w:w="4320"/>
            <w:shd w:val="clear" w:color="auto" w:fill="EFF6FF"/>
          </w:tcPr>
          <w:p>
            <w:r>
              <w:rPr>
                <w:rFonts w:ascii="Calibri" w:hAnsi="Calibri"/>
                <w:b w:val="0"/>
                <w:i w:val="0"/>
                <w:sz w:val="19"/>
              </w:rPr>
              <w:t>Benchmark source, date</w:t>
            </w:r>
          </w:p>
        </w:tc>
      </w:tr>
      <w:tr>
        <w:tc>
          <w:tcPr>
            <w:tcW w:type="dxa" w:w="1440"/>
          </w:tcPr>
          <w:p>
            <w:r>
              <w:rPr>
                <w:rFonts w:ascii="Calibri" w:hAnsi="Calibri"/>
                <w:b w:val="0"/>
                <w:i w:val="0"/>
                <w:sz w:val="19"/>
              </w:rPr>
              <w:t>Class 4</w:t>
            </w:r>
          </w:p>
        </w:tc>
        <w:tc>
          <w:tcPr>
            <w:tcW w:type="dxa" w:w="2592"/>
          </w:tcPr>
          <w:p>
            <w:r>
              <w:rPr>
                <w:rFonts w:ascii="Calibri" w:hAnsi="Calibri"/>
                <w:b w:val="0"/>
                <w:i w:val="0"/>
                <w:sz w:val="19"/>
              </w:rPr>
              <w:t>Heuristic Estimate</w:t>
            </w:r>
          </w:p>
        </w:tc>
        <w:tc>
          <w:tcPr>
            <w:tcW w:type="dxa" w:w="5328"/>
          </w:tcPr>
          <w:p>
            <w:r>
              <w:rPr>
                <w:rFonts w:ascii="Calibri" w:hAnsi="Calibri"/>
                <w:b w:val="0"/>
                <w:i w:val="0"/>
                <w:sz w:val="19"/>
              </w:rPr>
              <w:t>AI estimate where data is sparse or ambiguous (confidence &lt;0.8)</w:t>
            </w:r>
          </w:p>
        </w:tc>
        <w:tc>
          <w:tcPr>
            <w:tcW w:type="dxa" w:w="4320"/>
          </w:tcPr>
          <w:p>
            <w:r>
              <w:rPr>
                <w:rFonts w:ascii="Calibri" w:hAnsi="Calibri"/>
                <w:b w:val="0"/>
                <w:i w:val="0"/>
                <w:sz w:val="19"/>
              </w:rPr>
              <w:t>Caveated disclosure in readout</w:t>
            </w:r>
          </w:p>
        </w:tc>
      </w:tr>
    </w:tbl>
    <w:p/>
    <w:p>
      <w:pPr>
        <w:spacing w:before="280" w:after="80"/>
      </w:pPr>
      <w:r>
        <w:rPr>
          <w:rFonts w:ascii="Calibri" w:hAnsi="Calibri"/>
          <w:b/>
          <w:i w:val="0"/>
          <w:color w:val="0F2D5E"/>
          <w:sz w:val="32"/>
        </w:rPr>
        <w:t>Agent Output Standards</w:t>
      </w:r>
    </w:p>
    <w:p>
      <w:pPr>
        <w:spacing w:before="200" w:after="60"/>
      </w:pPr>
      <w:r>
        <w:rPr>
          <w:rFonts w:ascii="Calibri" w:hAnsi="Calibri"/>
          <w:b/>
          <w:i w:val="0"/>
          <w:color w:val="2563EB"/>
          <w:sz w:val="26"/>
        </w:rPr>
        <w:t>VSM Analyzer</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0F2D5E"/>
          </w:tcPr>
          <w:p>
            <w:pPr>
              <w:jc w:val="center"/>
            </w:pPr>
            <w:r>
              <w:rPr>
                <w:rFonts w:ascii="Calibri" w:hAnsi="Calibri"/>
                <w:b/>
                <w:i w:val="0"/>
                <w:color w:val="FFFFFF"/>
                <w:sz w:val="19"/>
              </w:rPr>
              <w:t>Attribute</w:t>
            </w:r>
          </w:p>
        </w:tc>
        <w:tc>
          <w:tcPr>
            <w:tcW w:type="dxa" w:w="9360"/>
            <w:shd w:val="clear" w:color="auto" w:fill="0F2D5E"/>
          </w:tcPr>
          <w:p>
            <w:pPr>
              <w:jc w:val="center"/>
            </w:pPr>
            <w:r>
              <w:rPr>
                <w:rFonts w:ascii="Calibri" w:hAnsi="Calibri"/>
                <w:b/>
                <w:i w:val="0"/>
                <w:color w:val="FFFFFF"/>
                <w:sz w:val="19"/>
              </w:rPr>
              <w:t>Value</w:t>
            </w:r>
          </w:p>
        </w:tc>
      </w:tr>
      <w:tr>
        <w:tc>
          <w:tcPr>
            <w:tcW w:type="dxa" w:w="2880"/>
            <w:shd w:val="clear" w:color="auto" w:fill="EFF6FF"/>
          </w:tcPr>
          <w:p>
            <w:r>
              <w:rPr>
                <w:rFonts w:ascii="Calibri" w:hAnsi="Calibri"/>
                <w:b w:val="0"/>
                <w:i w:val="0"/>
                <w:sz w:val="19"/>
              </w:rPr>
              <w:t>Outputs</w:t>
            </w:r>
          </w:p>
        </w:tc>
        <w:tc>
          <w:tcPr>
            <w:tcW w:type="dxa" w:w="9360"/>
            <w:shd w:val="clear" w:color="auto" w:fill="EFF6FF"/>
          </w:tcPr>
          <w:p>
            <w:r>
              <w:rPr>
                <w:rFonts w:ascii="Calibri" w:hAnsi="Calibri"/>
                <w:b w:val="0"/>
                <w:i w:val="0"/>
                <w:sz w:val="19"/>
              </w:rPr>
              <w:t>Lead time, flow efficiency, process time, wait time per phase</w:t>
            </w:r>
          </w:p>
        </w:tc>
      </w:tr>
      <w:tr>
        <w:tc>
          <w:tcPr>
            <w:tcW w:type="dxa" w:w="2880"/>
          </w:tcPr>
          <w:p>
            <w:r>
              <w:rPr>
                <w:rFonts w:ascii="Calibri" w:hAnsi="Calibri"/>
                <w:b w:val="0"/>
                <w:i w:val="0"/>
                <w:sz w:val="19"/>
              </w:rPr>
              <w:t>Evidence Class</w:t>
            </w:r>
          </w:p>
        </w:tc>
        <w:tc>
          <w:tcPr>
            <w:tcW w:type="dxa" w:w="9360"/>
          </w:tcPr>
          <w:p>
            <w:r>
              <w:rPr>
                <w:rFonts w:ascii="Calibri" w:hAnsi="Calibri"/>
                <w:b w:val="0"/>
                <w:i w:val="0"/>
                <w:sz w:val="19"/>
              </w:rPr>
              <w:t>Class 1 (data-derived)</w:t>
            </w:r>
          </w:p>
        </w:tc>
      </w:tr>
      <w:tr>
        <w:tc>
          <w:tcPr>
            <w:tcW w:type="dxa" w:w="2880"/>
            <w:shd w:val="clear" w:color="auto" w:fill="EFF6FF"/>
          </w:tcPr>
          <w:p>
            <w:r>
              <w:rPr>
                <w:rFonts w:ascii="Calibri" w:hAnsi="Calibri"/>
                <w:b w:val="0"/>
                <w:i w:val="0"/>
                <w:sz w:val="19"/>
              </w:rPr>
              <w:t>Validation Method</w:t>
            </w:r>
          </w:p>
        </w:tc>
        <w:tc>
          <w:tcPr>
            <w:tcW w:type="dxa" w:w="9360"/>
            <w:shd w:val="clear" w:color="auto" w:fill="EFF6FF"/>
          </w:tcPr>
          <w:p>
            <w:r>
              <w:rPr>
                <w:rFonts w:ascii="Calibri" w:hAnsi="Calibri"/>
                <w:b w:val="0"/>
                <w:i w:val="0"/>
                <w:sz w:val="19"/>
              </w:rPr>
              <w:t>Verify total LT within ±10% of manual ticket audit on 20 random samples</w:t>
            </w:r>
          </w:p>
        </w:tc>
      </w:tr>
    </w:tbl>
    <w:p/>
    <w:p>
      <w:pPr>
        <w:spacing w:before="200" w:after="60"/>
      </w:pPr>
      <w:r>
        <w:rPr>
          <w:rFonts w:ascii="Calibri" w:hAnsi="Calibri"/>
          <w:b/>
          <w:i w:val="0"/>
          <w:color w:val="2563EB"/>
          <w:sz w:val="26"/>
        </w:rPr>
        <w:t>Benchmark Agent</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0F2D5E"/>
          </w:tcPr>
          <w:p>
            <w:pPr>
              <w:jc w:val="center"/>
            </w:pPr>
            <w:r>
              <w:rPr>
                <w:rFonts w:ascii="Calibri" w:hAnsi="Calibri"/>
                <w:b/>
                <w:i w:val="0"/>
                <w:color w:val="FFFFFF"/>
                <w:sz w:val="19"/>
              </w:rPr>
              <w:t>Attribute</w:t>
            </w:r>
          </w:p>
        </w:tc>
        <w:tc>
          <w:tcPr>
            <w:tcW w:type="dxa" w:w="9360"/>
            <w:shd w:val="clear" w:color="auto" w:fill="0F2D5E"/>
          </w:tcPr>
          <w:p>
            <w:pPr>
              <w:jc w:val="center"/>
            </w:pPr>
            <w:r>
              <w:rPr>
                <w:rFonts w:ascii="Calibri" w:hAnsi="Calibri"/>
                <w:b/>
                <w:i w:val="0"/>
                <w:color w:val="FFFFFF"/>
                <w:sz w:val="19"/>
              </w:rPr>
              <w:t>Value</w:t>
            </w:r>
          </w:p>
        </w:tc>
      </w:tr>
      <w:tr>
        <w:tc>
          <w:tcPr>
            <w:tcW w:type="dxa" w:w="2880"/>
            <w:shd w:val="clear" w:color="auto" w:fill="EFF6FF"/>
          </w:tcPr>
          <w:p>
            <w:r>
              <w:rPr>
                <w:rFonts w:ascii="Calibri" w:hAnsi="Calibri"/>
                <w:b w:val="0"/>
                <w:i w:val="0"/>
                <w:sz w:val="19"/>
              </w:rPr>
              <w:t>Outputs</w:t>
            </w:r>
          </w:p>
        </w:tc>
        <w:tc>
          <w:tcPr>
            <w:tcW w:type="dxa" w:w="9360"/>
            <w:shd w:val="clear" w:color="auto" w:fill="EFF6FF"/>
          </w:tcPr>
          <w:p>
            <w:r>
              <w:rPr>
                <w:rFonts w:ascii="Calibri" w:hAnsi="Calibri"/>
                <w:b w:val="0"/>
                <w:i w:val="0"/>
                <w:sz w:val="19"/>
              </w:rPr>
              <w:t>Peer comparisons, sector averages, competitor metrics</w:t>
            </w:r>
          </w:p>
        </w:tc>
      </w:tr>
      <w:tr>
        <w:tc>
          <w:tcPr>
            <w:tcW w:type="dxa" w:w="2880"/>
          </w:tcPr>
          <w:p>
            <w:r>
              <w:rPr>
                <w:rFonts w:ascii="Calibri" w:hAnsi="Calibri"/>
                <w:b w:val="0"/>
                <w:i w:val="0"/>
                <w:sz w:val="19"/>
              </w:rPr>
              <w:t>Evidence Class</w:t>
            </w:r>
          </w:p>
        </w:tc>
        <w:tc>
          <w:tcPr>
            <w:tcW w:type="dxa" w:w="9360"/>
          </w:tcPr>
          <w:p>
            <w:r>
              <w:rPr>
                <w:rFonts w:ascii="Calibri" w:hAnsi="Calibri"/>
                <w:b w:val="0"/>
                <w:i w:val="0"/>
                <w:sz w:val="19"/>
              </w:rPr>
              <w:t>Class 3 (benchmark-grounded)</w:t>
            </w:r>
          </w:p>
        </w:tc>
      </w:tr>
      <w:tr>
        <w:tc>
          <w:tcPr>
            <w:tcW w:type="dxa" w:w="2880"/>
            <w:shd w:val="clear" w:color="auto" w:fill="EFF6FF"/>
          </w:tcPr>
          <w:p>
            <w:r>
              <w:rPr>
                <w:rFonts w:ascii="Calibri" w:hAnsi="Calibri"/>
                <w:b w:val="0"/>
                <w:i w:val="0"/>
                <w:sz w:val="19"/>
              </w:rPr>
              <w:t>Validation Method</w:t>
            </w:r>
          </w:p>
        </w:tc>
        <w:tc>
          <w:tcPr>
            <w:tcW w:type="dxa" w:w="9360"/>
            <w:shd w:val="clear" w:color="auto" w:fill="EFF6FF"/>
          </w:tcPr>
          <w:p>
            <w:r>
              <w:rPr>
                <w:rFonts w:ascii="Calibri" w:hAnsi="Calibri"/>
                <w:b w:val="0"/>
                <w:i w:val="0"/>
                <w:sz w:val="19"/>
              </w:rPr>
              <w:t>Benchmark database updated quarterly; sources cited in tooltip</w:t>
            </w:r>
          </w:p>
        </w:tc>
      </w:tr>
    </w:tbl>
    <w:p/>
    <w:p>
      <w:pPr>
        <w:spacing w:before="200" w:after="60"/>
      </w:pPr>
      <w:r>
        <w:rPr>
          <w:rFonts w:ascii="Calibri" w:hAnsi="Calibri"/>
          <w:b/>
          <w:i w:val="0"/>
          <w:color w:val="2563EB"/>
          <w:sz w:val="26"/>
        </w:rPr>
        <w:t>Bottleneck Analyzer</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0F2D5E"/>
          </w:tcPr>
          <w:p>
            <w:pPr>
              <w:jc w:val="center"/>
            </w:pPr>
            <w:r>
              <w:rPr>
                <w:rFonts w:ascii="Calibri" w:hAnsi="Calibri"/>
                <w:b/>
                <w:i w:val="0"/>
                <w:color w:val="FFFFFF"/>
                <w:sz w:val="19"/>
              </w:rPr>
              <w:t>Attribute</w:t>
            </w:r>
          </w:p>
        </w:tc>
        <w:tc>
          <w:tcPr>
            <w:tcW w:type="dxa" w:w="9360"/>
            <w:shd w:val="clear" w:color="auto" w:fill="0F2D5E"/>
          </w:tcPr>
          <w:p>
            <w:pPr>
              <w:jc w:val="center"/>
            </w:pPr>
            <w:r>
              <w:rPr>
                <w:rFonts w:ascii="Calibri" w:hAnsi="Calibri"/>
                <w:b/>
                <w:i w:val="0"/>
                <w:color w:val="FFFFFF"/>
                <w:sz w:val="19"/>
              </w:rPr>
              <w:t>Value</w:t>
            </w:r>
          </w:p>
        </w:tc>
      </w:tr>
      <w:tr>
        <w:tc>
          <w:tcPr>
            <w:tcW w:type="dxa" w:w="2880"/>
            <w:shd w:val="clear" w:color="auto" w:fill="EFF6FF"/>
          </w:tcPr>
          <w:p>
            <w:r>
              <w:rPr>
                <w:rFonts w:ascii="Calibri" w:hAnsi="Calibri"/>
                <w:b w:val="0"/>
                <w:i w:val="0"/>
                <w:sz w:val="19"/>
              </w:rPr>
              <w:t>Outputs</w:t>
            </w:r>
          </w:p>
        </w:tc>
        <w:tc>
          <w:tcPr>
            <w:tcW w:type="dxa" w:w="9360"/>
            <w:shd w:val="clear" w:color="auto" w:fill="EFF6FF"/>
          </w:tcPr>
          <w:p>
            <w:r>
              <w:rPr>
                <w:rFonts w:ascii="Calibri" w:hAnsi="Calibri"/>
                <w:b w:val="0"/>
                <w:i w:val="0"/>
                <w:sz w:val="19"/>
              </w:rPr>
              <w:t>Bottleneck severity scores, root cause labels, waste hours</w:t>
            </w:r>
          </w:p>
        </w:tc>
      </w:tr>
      <w:tr>
        <w:tc>
          <w:tcPr>
            <w:tcW w:type="dxa" w:w="2880"/>
          </w:tcPr>
          <w:p>
            <w:r>
              <w:rPr>
                <w:rFonts w:ascii="Calibri" w:hAnsi="Calibri"/>
                <w:b w:val="0"/>
                <w:i w:val="0"/>
                <w:sz w:val="19"/>
              </w:rPr>
              <w:t>Evidence Class</w:t>
            </w:r>
          </w:p>
        </w:tc>
        <w:tc>
          <w:tcPr>
            <w:tcW w:type="dxa" w:w="9360"/>
          </w:tcPr>
          <w:p>
            <w:r>
              <w:rPr>
                <w:rFonts w:ascii="Calibri" w:hAnsi="Calibri"/>
                <w:b w:val="0"/>
                <w:i w:val="0"/>
                <w:sz w:val="19"/>
              </w:rPr>
              <w:t>Class 2 (AI-inferred)</w:t>
            </w:r>
          </w:p>
        </w:tc>
      </w:tr>
      <w:tr>
        <w:tc>
          <w:tcPr>
            <w:tcW w:type="dxa" w:w="2880"/>
            <w:shd w:val="clear" w:color="auto" w:fill="EFF6FF"/>
          </w:tcPr>
          <w:p>
            <w:r>
              <w:rPr>
                <w:rFonts w:ascii="Calibri" w:hAnsi="Calibri"/>
                <w:b w:val="0"/>
                <w:i w:val="0"/>
                <w:sz w:val="19"/>
              </w:rPr>
              <w:t>Validation Method</w:t>
            </w:r>
          </w:p>
        </w:tc>
        <w:tc>
          <w:tcPr>
            <w:tcW w:type="dxa" w:w="9360"/>
            <w:shd w:val="clear" w:color="auto" w:fill="EFF6FF"/>
          </w:tcPr>
          <w:p>
            <w:r>
              <w:rPr>
                <w:rFonts w:ascii="Calibri" w:hAnsi="Calibri"/>
                <w:b w:val="0"/>
                <w:i w:val="0"/>
                <w:sz w:val="19"/>
              </w:rPr>
              <w:t>Client engineering SME reviews and validates before readout</w:t>
            </w:r>
          </w:p>
        </w:tc>
      </w:tr>
    </w:tbl>
    <w:p/>
    <w:p>
      <w:pPr>
        <w:spacing w:before="200" w:after="60"/>
      </w:pPr>
      <w:r>
        <w:rPr>
          <w:rFonts w:ascii="Calibri" w:hAnsi="Calibri"/>
          <w:b/>
          <w:i w:val="0"/>
          <w:color w:val="2563EB"/>
          <w:sz w:val="26"/>
        </w:rPr>
        <w:t>Improvement Generator</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0F2D5E"/>
          </w:tcPr>
          <w:p>
            <w:pPr>
              <w:jc w:val="center"/>
            </w:pPr>
            <w:r>
              <w:rPr>
                <w:rFonts w:ascii="Calibri" w:hAnsi="Calibri"/>
                <w:b/>
                <w:i w:val="0"/>
                <w:color w:val="FFFFFF"/>
                <w:sz w:val="19"/>
              </w:rPr>
              <w:t>Attribute</w:t>
            </w:r>
          </w:p>
        </w:tc>
        <w:tc>
          <w:tcPr>
            <w:tcW w:type="dxa" w:w="9360"/>
            <w:shd w:val="clear" w:color="auto" w:fill="0F2D5E"/>
          </w:tcPr>
          <w:p>
            <w:pPr>
              <w:jc w:val="center"/>
            </w:pPr>
            <w:r>
              <w:rPr>
                <w:rFonts w:ascii="Calibri" w:hAnsi="Calibri"/>
                <w:b/>
                <w:i w:val="0"/>
                <w:color w:val="FFFFFF"/>
                <w:sz w:val="19"/>
              </w:rPr>
              <w:t>Value</w:t>
            </w:r>
          </w:p>
        </w:tc>
      </w:tr>
      <w:tr>
        <w:tc>
          <w:tcPr>
            <w:tcW w:type="dxa" w:w="2880"/>
            <w:shd w:val="clear" w:color="auto" w:fill="EFF6FF"/>
          </w:tcPr>
          <w:p>
            <w:r>
              <w:rPr>
                <w:rFonts w:ascii="Calibri" w:hAnsi="Calibri"/>
                <w:b w:val="0"/>
                <w:i w:val="0"/>
                <w:sz w:val="19"/>
              </w:rPr>
              <w:t>Outputs</w:t>
            </w:r>
          </w:p>
        </w:tc>
        <w:tc>
          <w:tcPr>
            <w:tcW w:type="dxa" w:w="9360"/>
            <w:shd w:val="clear" w:color="auto" w:fill="EFF6FF"/>
          </w:tcPr>
          <w:p>
            <w:r>
              <w:rPr>
                <w:rFonts w:ascii="Calibri" w:hAnsi="Calibri"/>
                <w:b w:val="0"/>
                <w:i w:val="0"/>
                <w:sz w:val="19"/>
              </w:rPr>
              <w:t>ROI estimates, effort estimates, initiative titles</w:t>
            </w:r>
          </w:p>
        </w:tc>
      </w:tr>
      <w:tr>
        <w:tc>
          <w:tcPr>
            <w:tcW w:type="dxa" w:w="2880"/>
          </w:tcPr>
          <w:p>
            <w:r>
              <w:rPr>
                <w:rFonts w:ascii="Calibri" w:hAnsi="Calibri"/>
                <w:b w:val="0"/>
                <w:i w:val="0"/>
                <w:sz w:val="19"/>
              </w:rPr>
              <w:t>Evidence Class</w:t>
            </w:r>
          </w:p>
        </w:tc>
        <w:tc>
          <w:tcPr>
            <w:tcW w:type="dxa" w:w="9360"/>
          </w:tcPr>
          <w:p>
            <w:r>
              <w:rPr>
                <w:rFonts w:ascii="Calibri" w:hAnsi="Calibri"/>
                <w:b w:val="0"/>
                <w:i w:val="0"/>
                <w:sz w:val="19"/>
              </w:rPr>
              <w:t>Class 2/3 (AI-inferred + benchmarks)</w:t>
            </w:r>
          </w:p>
        </w:tc>
      </w:tr>
      <w:tr>
        <w:tc>
          <w:tcPr>
            <w:tcW w:type="dxa" w:w="2880"/>
            <w:shd w:val="clear" w:color="auto" w:fill="EFF6FF"/>
          </w:tcPr>
          <w:p>
            <w:r>
              <w:rPr>
                <w:rFonts w:ascii="Calibri" w:hAnsi="Calibri"/>
                <w:b w:val="0"/>
                <w:i w:val="0"/>
                <w:sz w:val="19"/>
              </w:rPr>
              <w:t>Validation Method</w:t>
            </w:r>
          </w:p>
        </w:tc>
        <w:tc>
          <w:tcPr>
            <w:tcW w:type="dxa" w:w="9360"/>
            <w:shd w:val="clear" w:color="auto" w:fill="EFF6FF"/>
          </w:tcPr>
          <w:p>
            <w:r>
              <w:rPr>
                <w:rFonts w:ascii="Calibri" w:hAnsi="Calibri"/>
                <w:b w:val="0"/>
                <w:i w:val="0"/>
                <w:sz w:val="19"/>
              </w:rPr>
              <w:t>ROI band (not point estimate) cited; assumes sector average implementation cost</w:t>
            </w:r>
          </w:p>
        </w:tc>
      </w:tr>
    </w:tbl>
    <w:p/>
    <w:p>
      <w:pPr>
        <w:spacing w:before="200" w:after="60"/>
      </w:pPr>
      <w:r>
        <w:rPr>
          <w:rFonts w:ascii="Calibri" w:hAnsi="Calibri"/>
          <w:b/>
          <w:i w:val="0"/>
          <w:color w:val="2563EB"/>
          <w:sz w:val="26"/>
        </w:rPr>
        <w:t>Future State Designer</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0F2D5E"/>
          </w:tcPr>
          <w:p>
            <w:pPr>
              <w:jc w:val="center"/>
            </w:pPr>
            <w:r>
              <w:rPr>
                <w:rFonts w:ascii="Calibri" w:hAnsi="Calibri"/>
                <w:b/>
                <w:i w:val="0"/>
                <w:color w:val="FFFFFF"/>
                <w:sz w:val="19"/>
              </w:rPr>
              <w:t>Attribute</w:t>
            </w:r>
          </w:p>
        </w:tc>
        <w:tc>
          <w:tcPr>
            <w:tcW w:type="dxa" w:w="9360"/>
            <w:shd w:val="clear" w:color="auto" w:fill="0F2D5E"/>
          </w:tcPr>
          <w:p>
            <w:pPr>
              <w:jc w:val="center"/>
            </w:pPr>
            <w:r>
              <w:rPr>
                <w:rFonts w:ascii="Calibri" w:hAnsi="Calibri"/>
                <w:b/>
                <w:i w:val="0"/>
                <w:color w:val="FFFFFF"/>
                <w:sz w:val="19"/>
              </w:rPr>
              <w:t>Value</w:t>
            </w:r>
          </w:p>
        </w:tc>
      </w:tr>
      <w:tr>
        <w:tc>
          <w:tcPr>
            <w:tcW w:type="dxa" w:w="2880"/>
            <w:shd w:val="clear" w:color="auto" w:fill="EFF6FF"/>
          </w:tcPr>
          <w:p>
            <w:r>
              <w:rPr>
                <w:rFonts w:ascii="Calibri" w:hAnsi="Calibri"/>
                <w:b w:val="0"/>
                <w:i w:val="0"/>
                <w:sz w:val="19"/>
              </w:rPr>
              <w:t>Outputs</w:t>
            </w:r>
          </w:p>
        </w:tc>
        <w:tc>
          <w:tcPr>
            <w:tcW w:type="dxa" w:w="9360"/>
            <w:shd w:val="clear" w:color="auto" w:fill="EFF6FF"/>
          </w:tcPr>
          <w:p>
            <w:r>
              <w:rPr>
                <w:rFonts w:ascii="Calibri" w:hAnsi="Calibri"/>
                <w:b w:val="0"/>
                <w:i w:val="0"/>
                <w:sz w:val="19"/>
              </w:rPr>
              <w:t>Target LT, FE, WT for each scenario</w:t>
            </w:r>
          </w:p>
        </w:tc>
      </w:tr>
      <w:tr>
        <w:tc>
          <w:tcPr>
            <w:tcW w:type="dxa" w:w="2880"/>
          </w:tcPr>
          <w:p>
            <w:r>
              <w:rPr>
                <w:rFonts w:ascii="Calibri" w:hAnsi="Calibri"/>
                <w:b w:val="0"/>
                <w:i w:val="0"/>
                <w:sz w:val="19"/>
              </w:rPr>
              <w:t>Evidence Class</w:t>
            </w:r>
          </w:p>
        </w:tc>
        <w:tc>
          <w:tcPr>
            <w:tcW w:type="dxa" w:w="9360"/>
          </w:tcPr>
          <w:p>
            <w:r>
              <w:rPr>
                <w:rFonts w:ascii="Calibri" w:hAnsi="Calibri"/>
                <w:b w:val="0"/>
                <w:i w:val="0"/>
                <w:sz w:val="19"/>
              </w:rPr>
              <w:t>Class 2/3</w:t>
            </w:r>
          </w:p>
        </w:tc>
      </w:tr>
      <w:tr>
        <w:tc>
          <w:tcPr>
            <w:tcW w:type="dxa" w:w="2880"/>
            <w:shd w:val="clear" w:color="auto" w:fill="EFF6FF"/>
          </w:tcPr>
          <w:p>
            <w:r>
              <w:rPr>
                <w:rFonts w:ascii="Calibri" w:hAnsi="Calibri"/>
                <w:b w:val="0"/>
                <w:i w:val="0"/>
                <w:sz w:val="19"/>
              </w:rPr>
              <w:t>Validation Method</w:t>
            </w:r>
          </w:p>
        </w:tc>
        <w:tc>
          <w:tcPr>
            <w:tcW w:type="dxa" w:w="9360"/>
            <w:shd w:val="clear" w:color="auto" w:fill="EFF6FF"/>
          </w:tcPr>
          <w:p>
            <w:r>
              <w:rPr>
                <w:rFonts w:ascii="Calibri" w:hAnsi="Calibri"/>
                <w:b w:val="0"/>
                <w:i w:val="0"/>
                <w:sz w:val="19"/>
              </w:rPr>
              <w:t>Projected metrics show conservative/expected/optimistic bands</w:t>
            </w:r>
          </w:p>
        </w:tc>
      </w:tr>
    </w:tbl>
    <w:p/>
    <w:p>
      <w:pPr>
        <w:spacing w:before="200" w:after="60"/>
      </w:pPr>
      <w:r>
        <w:rPr>
          <w:rFonts w:ascii="Calibri" w:hAnsi="Calibri"/>
          <w:b/>
          <w:i w:val="0"/>
          <w:color w:val="2563EB"/>
          <w:sz w:val="26"/>
        </w:rPr>
        <w:t>Business Case Builder</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0F2D5E"/>
          </w:tcPr>
          <w:p>
            <w:pPr>
              <w:jc w:val="center"/>
            </w:pPr>
            <w:r>
              <w:rPr>
                <w:rFonts w:ascii="Calibri" w:hAnsi="Calibri"/>
                <w:b/>
                <w:i w:val="0"/>
                <w:color w:val="FFFFFF"/>
                <w:sz w:val="19"/>
              </w:rPr>
              <w:t>Attribute</w:t>
            </w:r>
          </w:p>
        </w:tc>
        <w:tc>
          <w:tcPr>
            <w:tcW w:type="dxa" w:w="9360"/>
            <w:shd w:val="clear" w:color="auto" w:fill="0F2D5E"/>
          </w:tcPr>
          <w:p>
            <w:pPr>
              <w:jc w:val="center"/>
            </w:pPr>
            <w:r>
              <w:rPr>
                <w:rFonts w:ascii="Calibri" w:hAnsi="Calibri"/>
                <w:b/>
                <w:i w:val="0"/>
                <w:color w:val="FFFFFF"/>
                <w:sz w:val="19"/>
              </w:rPr>
              <w:t>Value</w:t>
            </w:r>
          </w:p>
        </w:tc>
      </w:tr>
      <w:tr>
        <w:tc>
          <w:tcPr>
            <w:tcW w:type="dxa" w:w="2880"/>
            <w:shd w:val="clear" w:color="auto" w:fill="EFF6FF"/>
          </w:tcPr>
          <w:p>
            <w:r>
              <w:rPr>
                <w:rFonts w:ascii="Calibri" w:hAnsi="Calibri"/>
                <w:b w:val="0"/>
                <w:i w:val="0"/>
                <w:sz w:val="19"/>
              </w:rPr>
              <w:t>Outputs</w:t>
            </w:r>
          </w:p>
        </w:tc>
        <w:tc>
          <w:tcPr>
            <w:tcW w:type="dxa" w:w="9360"/>
            <w:shd w:val="clear" w:color="auto" w:fill="EFF6FF"/>
          </w:tcPr>
          <w:p>
            <w:r>
              <w:rPr>
                <w:rFonts w:ascii="Calibri" w:hAnsi="Calibri"/>
                <w:b w:val="0"/>
                <w:i w:val="0"/>
                <w:sz w:val="19"/>
              </w:rPr>
              <w:t>NPV, payback period, benefit breakdown</w:t>
            </w:r>
          </w:p>
        </w:tc>
      </w:tr>
      <w:tr>
        <w:tc>
          <w:tcPr>
            <w:tcW w:type="dxa" w:w="2880"/>
          </w:tcPr>
          <w:p>
            <w:r>
              <w:rPr>
                <w:rFonts w:ascii="Calibri" w:hAnsi="Calibri"/>
                <w:b w:val="0"/>
                <w:i w:val="0"/>
                <w:sz w:val="19"/>
              </w:rPr>
              <w:t>Evidence Class</w:t>
            </w:r>
          </w:p>
        </w:tc>
        <w:tc>
          <w:tcPr>
            <w:tcW w:type="dxa" w:w="9360"/>
          </w:tcPr>
          <w:p>
            <w:r>
              <w:rPr>
                <w:rFonts w:ascii="Calibri" w:hAnsi="Calibri"/>
                <w:b w:val="0"/>
                <w:i w:val="0"/>
                <w:sz w:val="19"/>
              </w:rPr>
              <w:t>Class 2/3 + Class 1 for baseline</w:t>
            </w:r>
          </w:p>
        </w:tc>
      </w:tr>
      <w:tr>
        <w:tc>
          <w:tcPr>
            <w:tcW w:type="dxa" w:w="2880"/>
            <w:shd w:val="clear" w:color="auto" w:fill="EFF6FF"/>
          </w:tcPr>
          <w:p>
            <w:r>
              <w:rPr>
                <w:rFonts w:ascii="Calibri" w:hAnsi="Calibri"/>
                <w:b w:val="0"/>
                <w:i w:val="0"/>
                <w:sz w:val="19"/>
              </w:rPr>
              <w:t>Validation Method</w:t>
            </w:r>
          </w:p>
        </w:tc>
        <w:tc>
          <w:tcPr>
            <w:tcW w:type="dxa" w:w="9360"/>
            <w:shd w:val="clear" w:color="auto" w:fill="EFF6FF"/>
          </w:tcPr>
          <w:p>
            <w:r>
              <w:rPr>
                <w:rFonts w:ascii="Calibri" w:hAnsi="Calibri"/>
                <w:b w:val="0"/>
                <w:i w:val="0"/>
                <w:sz w:val="19"/>
              </w:rPr>
              <w:t>CFO review uses expected scenario only; conservative shown for risk adjustment</w:t>
            </w:r>
          </w:p>
        </w:tc>
      </w:tr>
    </w:tbl>
    <w:p/>
    <w:p>
      <w:pPr>
        <w:spacing w:before="200" w:after="60"/>
      </w:pPr>
      <w:r>
        <w:rPr>
          <w:rFonts w:ascii="Calibri" w:hAnsi="Calibri"/>
          <w:b/>
          <w:i w:val="0"/>
          <w:color w:val="2563EB"/>
          <w:sz w:val="26"/>
        </w:rPr>
        <w:t>DORA Assessment Agent</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0F2D5E"/>
          </w:tcPr>
          <w:p>
            <w:pPr>
              <w:jc w:val="center"/>
            </w:pPr>
            <w:r>
              <w:rPr>
                <w:rFonts w:ascii="Calibri" w:hAnsi="Calibri"/>
                <w:b/>
                <w:i w:val="0"/>
                <w:color w:val="FFFFFF"/>
                <w:sz w:val="19"/>
              </w:rPr>
              <w:t>Attribute</w:t>
            </w:r>
          </w:p>
        </w:tc>
        <w:tc>
          <w:tcPr>
            <w:tcW w:type="dxa" w:w="9360"/>
            <w:shd w:val="clear" w:color="auto" w:fill="0F2D5E"/>
          </w:tcPr>
          <w:p>
            <w:pPr>
              <w:jc w:val="center"/>
            </w:pPr>
            <w:r>
              <w:rPr>
                <w:rFonts w:ascii="Calibri" w:hAnsi="Calibri"/>
                <w:b/>
                <w:i w:val="0"/>
                <w:color w:val="FFFFFF"/>
                <w:sz w:val="19"/>
              </w:rPr>
              <w:t>Value</w:t>
            </w:r>
          </w:p>
        </w:tc>
      </w:tr>
      <w:tr>
        <w:tc>
          <w:tcPr>
            <w:tcW w:type="dxa" w:w="2880"/>
            <w:shd w:val="clear" w:color="auto" w:fill="EFF6FF"/>
          </w:tcPr>
          <w:p>
            <w:r>
              <w:rPr>
                <w:rFonts w:ascii="Calibri" w:hAnsi="Calibri"/>
                <w:b w:val="0"/>
                <w:i w:val="0"/>
                <w:sz w:val="19"/>
              </w:rPr>
              <w:t>Outputs</w:t>
            </w:r>
          </w:p>
        </w:tc>
        <w:tc>
          <w:tcPr>
            <w:tcW w:type="dxa" w:w="9360"/>
            <w:shd w:val="clear" w:color="auto" w:fill="EFF6FF"/>
          </w:tcPr>
          <w:p>
            <w:r>
              <w:rPr>
                <w:rFonts w:ascii="Calibri" w:hAnsi="Calibri"/>
                <w:b w:val="0"/>
                <w:i w:val="0"/>
                <w:sz w:val="19"/>
              </w:rPr>
              <w:t>Maturity scores, band assignment, gap analysis</w:t>
            </w:r>
          </w:p>
        </w:tc>
      </w:tr>
      <w:tr>
        <w:tc>
          <w:tcPr>
            <w:tcW w:type="dxa" w:w="2880"/>
          </w:tcPr>
          <w:p>
            <w:r>
              <w:rPr>
                <w:rFonts w:ascii="Calibri" w:hAnsi="Calibri"/>
                <w:b w:val="0"/>
                <w:i w:val="0"/>
                <w:sz w:val="19"/>
              </w:rPr>
              <w:t>Evidence Class</w:t>
            </w:r>
          </w:p>
        </w:tc>
        <w:tc>
          <w:tcPr>
            <w:tcW w:type="dxa" w:w="9360"/>
          </w:tcPr>
          <w:p>
            <w:r>
              <w:rPr>
                <w:rFonts w:ascii="Calibri" w:hAnsi="Calibri"/>
                <w:b w:val="0"/>
                <w:i w:val="0"/>
                <w:sz w:val="19"/>
              </w:rPr>
              <w:t>Class 1/2 (data + AI)</w:t>
            </w:r>
          </w:p>
        </w:tc>
      </w:tr>
      <w:tr>
        <w:tc>
          <w:tcPr>
            <w:tcW w:type="dxa" w:w="2880"/>
            <w:shd w:val="clear" w:color="auto" w:fill="EFF6FF"/>
          </w:tcPr>
          <w:p>
            <w:r>
              <w:rPr>
                <w:rFonts w:ascii="Calibri" w:hAnsi="Calibri"/>
                <w:b w:val="0"/>
                <w:i w:val="0"/>
                <w:sz w:val="19"/>
              </w:rPr>
              <w:t>Validation Method</w:t>
            </w:r>
          </w:p>
        </w:tc>
        <w:tc>
          <w:tcPr>
            <w:tcW w:type="dxa" w:w="9360"/>
            <w:shd w:val="clear" w:color="auto" w:fill="EFF6FF"/>
          </w:tcPr>
          <w:p>
            <w:r>
              <w:rPr>
                <w:rFonts w:ascii="Calibri" w:hAnsi="Calibri"/>
                <w:b w:val="0"/>
                <w:i w:val="0"/>
                <w:sz w:val="19"/>
              </w:rPr>
              <w:t>73 questions; manual override available for any score</w:t>
            </w:r>
          </w:p>
        </w:tc>
      </w:tr>
    </w:tbl>
    <w:p/>
    <w:p>
      <w:pPr>
        <w:spacing w:before="280" w:after="80"/>
      </w:pPr>
      <w:r>
        <w:rPr>
          <w:rFonts w:ascii="Calibri" w:hAnsi="Calibri"/>
          <w:b/>
          <w:i w:val="0"/>
          <w:color w:val="0F2D5E"/>
          <w:sz w:val="32"/>
        </w:rPr>
        <w:t>Citation Standards for Executive Readouts</w:t>
      </w:r>
    </w:p>
    <w:p>
      <w:pPr>
        <w:spacing w:before="200" w:after="60"/>
      </w:pPr>
      <w:r>
        <w:rPr>
          <w:rFonts w:ascii="Calibri" w:hAnsi="Calibri"/>
          <w:b/>
          <w:i w:val="0"/>
          <w:color w:val="2563EB"/>
          <w:sz w:val="26"/>
        </w:rPr>
        <w:t>What Must Be Cited</w:t>
      </w:r>
    </w:p>
    <w:p>
      <w:pPr>
        <w:pStyle w:val="ListBullet"/>
        <w:spacing w:after="40"/>
        <w:ind w:left="360"/>
      </w:pPr>
      <w:r>
        <w:rPr>
          <w:rFonts w:ascii="Calibri" w:hAnsi="Calibri"/>
          <w:b w:val="0"/>
          <w:i w:val="0"/>
          <w:sz w:val="21"/>
        </w:rPr>
        <w:t>Any statistic presented to CFO, CEO, or Board: class, source, and confidence level</w:t>
      </w:r>
    </w:p>
    <w:p>
      <w:pPr>
        <w:pStyle w:val="ListBullet"/>
        <w:spacing w:after="40"/>
        <w:ind w:left="360"/>
      </w:pPr>
      <w:r>
        <w:rPr>
          <w:rFonts w:ascii="Calibri" w:hAnsi="Calibri"/>
          <w:b w:val="0"/>
          <w:i w:val="0"/>
          <w:sz w:val="21"/>
        </w:rPr>
        <w:t>All benchmark comparisons: name of benchmark database or published report, year</w:t>
      </w:r>
    </w:p>
    <w:p>
      <w:pPr>
        <w:pStyle w:val="ListBullet"/>
        <w:spacing w:after="40"/>
        <w:ind w:left="360"/>
      </w:pPr>
      <w:r>
        <w:rPr>
          <w:rFonts w:ascii="Calibri" w:hAnsi="Calibri"/>
          <w:b w:val="0"/>
          <w:i w:val="0"/>
          <w:sz w:val="21"/>
        </w:rPr>
        <w:t>All ROI / NPV / payback figures: assumptions stated in footnote or slide notes</w:t>
      </w:r>
    </w:p>
    <w:p>
      <w:pPr>
        <w:pStyle w:val="ListBullet"/>
        <w:spacing w:after="40"/>
        <w:ind w:left="360"/>
      </w:pPr>
      <w:r>
        <w:rPr>
          <w:rFonts w:ascii="Calibri" w:hAnsi="Calibri"/>
          <w:b w:val="0"/>
          <w:i w:val="0"/>
          <w:sz w:val="21"/>
        </w:rPr>
        <w:t>All peer comparisons: anonymised if confidential, or cited if from public report</w:t>
      </w:r>
    </w:p>
    <w:p>
      <w:pPr>
        <w:spacing w:before="200" w:after="60"/>
      </w:pPr>
      <w:r>
        <w:rPr>
          <w:rFonts w:ascii="Calibri" w:hAnsi="Calibri"/>
          <w:b/>
          <w:i w:val="0"/>
          <w:color w:val="2563EB"/>
          <w:sz w:val="26"/>
        </w:rPr>
        <w:t>Citation Format (Slide Footnote)</w:t>
      </w:r>
    </w:p>
    <w:p>
      <w:pPr>
        <w:spacing w:before="120" w:after="120"/>
        <w:ind w:left="480" w:right="480"/>
        <w:shd w:val="clear" w:color="auto" w:fill="DBEAFE"/>
      </w:pPr>
      <w:r>
        <w:rPr>
          <w:rFonts w:ascii="Calibri" w:hAnsi="Calibri"/>
          <w:b w:val="0"/>
          <w:i/>
          <w:color w:val="0F2D5E"/>
          <w:sz w:val="21"/>
        </w:rPr>
        <w:t>Example: "Lead time: 42 days [Class 1 — 2,847 Jira tickets, Jan 2024–Dec 2024]. Bottleneck: Manual SIT/UAT [Class 2 — Bottleneck Analyzer, confidence: 0.87]. Benchmark: Sector avg 28 days [Class 3 — DORA State of DevOps 2024]."</w:t>
      </w:r>
    </w:p>
    <w:p>
      <w:pPr>
        <w:spacing w:before="280" w:after="80"/>
      </w:pPr>
      <w:r>
        <w:rPr>
          <w:rFonts w:ascii="Calibri" w:hAnsi="Calibri"/>
          <w:b/>
          <w:i w:val="0"/>
          <w:color w:val="0F2D5E"/>
          <w:sz w:val="32"/>
        </w:rPr>
        <w:t>Audit Trail</w:t>
      </w:r>
    </w:p>
    <w:p>
      <w:pPr>
        <w:spacing w:after="80"/>
      </w:pPr>
      <w:r>
        <w:rPr>
          <w:rFonts w:ascii="Calibri" w:hAnsi="Calibri"/>
          <w:b w:val="0"/>
          <w:i w:val="0"/>
          <w:sz w:val="21"/>
        </w:rPr>
        <w:t>Every AI analysis run generates an audit log stored in the platform database. The log includes:</w:t>
      </w:r>
    </w:p>
    <w:p>
      <w:pPr>
        <w:pStyle w:val="ListBullet"/>
        <w:spacing w:after="40"/>
        <w:ind w:left="360"/>
      </w:pPr>
      <w:r>
        <w:rPr>
          <w:rFonts w:ascii="Calibri" w:hAnsi="Calibri"/>
          <w:b w:val="0"/>
          <w:i w:val="0"/>
          <w:sz w:val="21"/>
        </w:rPr>
        <w:t>Run ID (UUID) — unique identifier for the analysis run</w:t>
      </w:r>
    </w:p>
    <w:p>
      <w:pPr>
        <w:pStyle w:val="ListBullet"/>
        <w:spacing w:after="40"/>
        <w:ind w:left="360"/>
      </w:pPr>
      <w:r>
        <w:rPr>
          <w:rFonts w:ascii="Calibri" w:hAnsi="Calibri"/>
          <w:b w:val="0"/>
          <w:i w:val="0"/>
          <w:sz w:val="21"/>
        </w:rPr>
        <w:t>Timestamp — UTC timestamp of agent execution</w:t>
      </w:r>
    </w:p>
    <w:p>
      <w:pPr>
        <w:pStyle w:val="ListBullet"/>
        <w:spacing w:after="40"/>
        <w:ind w:left="360"/>
      </w:pPr>
      <w:r>
        <w:rPr>
          <w:rFonts w:ascii="Calibri" w:hAnsi="Calibri"/>
          <w:b w:val="0"/>
          <w:i w:val="0"/>
          <w:sz w:val="21"/>
        </w:rPr>
        <w:t>Input data hash — SHA-256 of the ALM data file used</w:t>
      </w:r>
    </w:p>
    <w:p>
      <w:pPr>
        <w:pStyle w:val="ListBullet"/>
        <w:spacing w:after="40"/>
        <w:ind w:left="360"/>
      </w:pPr>
      <w:r>
        <w:rPr>
          <w:rFonts w:ascii="Calibri" w:hAnsi="Calibri"/>
          <w:b w:val="0"/>
          <w:i w:val="0"/>
          <w:sz w:val="21"/>
        </w:rPr>
        <w:t>Agent outputs — full JSON output for each agent (stored in AnalysisRun table)</w:t>
      </w:r>
    </w:p>
    <w:p>
      <w:pPr>
        <w:pStyle w:val="ListBullet"/>
        <w:spacing w:after="40"/>
        <w:ind w:left="360"/>
      </w:pPr>
      <w:r>
        <w:rPr>
          <w:rFonts w:ascii="Calibri" w:hAnsi="Calibri"/>
          <w:b w:val="0"/>
          <w:i w:val="0"/>
          <w:sz w:val="21"/>
        </w:rPr>
        <w:t>Manual overrides — timestamped record of any client-modified scores</w:t>
      </w:r>
    </w:p>
    <w:p>
      <w:pPr>
        <w:pStyle w:val="ListBullet"/>
        <w:spacing w:after="40"/>
        <w:ind w:left="360"/>
      </w:pPr>
      <w:r>
        <w:rPr>
          <w:rFonts w:ascii="Calibri" w:hAnsi="Calibri"/>
          <w:b w:val="0"/>
          <w:i w:val="0"/>
          <w:sz w:val="21"/>
        </w:rPr>
        <w:t>Confidence scores — per-agent confidence metadata</w:t>
      </w:r>
    </w:p>
    <w:p>
      <w:pPr>
        <w:spacing w:after="80"/>
      </w:pPr>
      <w:r>
        <w:rPr>
          <w:rFonts w:ascii="Calibri" w:hAnsi="Calibri"/>
          <w:b w:val="0"/>
          <w:i w:val="0"/>
          <w:sz w:val="21"/>
        </w:rPr>
        <w:t>Audit logs are retained for 12 months and can be exported from the platform as a PDF audit pack.</w:t>
      </w:r>
    </w:p>
    <w:p>
      <w:pPr>
        <w:spacing w:before="280" w:after="80"/>
      </w:pPr>
      <w:r>
        <w:rPr>
          <w:rFonts w:ascii="Calibri" w:hAnsi="Calibri"/>
          <w:b/>
          <w:i w:val="0"/>
          <w:color w:val="0F2D5E"/>
          <w:sz w:val="32"/>
        </w:rPr>
        <w:t>Disclosure Requirements</w:t>
      </w:r>
    </w:p>
    <w:p>
      <w:pPr>
        <w:spacing w:before="120" w:after="120"/>
        <w:ind w:left="480" w:right="480"/>
        <w:shd w:val="clear" w:color="auto" w:fill="DBEAFE"/>
      </w:pPr>
      <w:r>
        <w:rPr>
          <w:rFonts w:ascii="Calibri" w:hAnsi="Calibri"/>
          <w:b w:val="0"/>
          <w:i/>
          <w:color w:val="0F2D5E"/>
          <w:sz w:val="21"/>
        </w:rPr>
        <w:t>Mandatory Disclosure: All outputs must include the following statement when presented to external stakeholders: 'Analysis produced by AI agents using client-provided ALM data and published industry benchmarks. All material findings have been validated by the client engineering team. Point estimates represent expected-case scenarios; conservative and optimistic ranges available in the platform.'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