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Risk Register</w:t>
      </w:r>
    </w:p>
    <w:p>
      <w:r>
        <w:rPr>
          <w:rFonts w:ascii="Calibri" w:hAnsi="Calibri"/>
          <w:b w:val="0"/>
          <w:i/>
          <w:color w:val="2563EB"/>
          <w:sz w:val="24"/>
        </w:rPr>
        <w:t>Pilot Engagement Risk Identification and Mitigation Plan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DOC-SET2-19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Risk Rating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Rating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Likelihood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Impact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Response Required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Critical (16–25)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Very Likely (5) × Major Impact (4–5)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= &gt;$1M impact or engagement failure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Immediate escalation + contingency plan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 (9–15)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Likely (4) × Significant (3–4)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= Significant delay or scope reduction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 monitoring + mitigation action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 (5–8)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Possible (3) × Moderate (2–3)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= Minor delay, manageable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Fortnightly review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 (1–4)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Unlikely (1–2) × Minor (1–2)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1–2 = Negligible impact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Monitor only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Risk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7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 Description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4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</w:t>
            </w:r>
          </w:p>
        </w:tc>
        <w:tc>
          <w:tcPr>
            <w:tcW w:type="dxa" w:w="4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</w:t>
            </w:r>
          </w:p>
        </w:tc>
        <w:tc>
          <w:tcPr>
            <w:tcW w:type="dxa" w:w="10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Rating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Mitigation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864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R01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export blocked by IT security policy or data governance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Pre-engage IT lead; offer on-prem option; data NDA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R02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quality too poor for meaningful VSM (&gt;40% missing resolved dates)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quality scorecard Week 1; heuristic LT for sparse data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R03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Key client stakeholder unavailable during critical phases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Resource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 review via platform; recorded demo as fallback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R04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performance degrades with large ticket volumes (&gt;50K)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Technical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Load test before engagement; horizontal scaling available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R05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 produces inaccurate bottleneck scores (false negatives)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override in Week 5-6; client SME validation step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R06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postponed or cancelled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30-day post-pilot support covers rescheduling; async deck delivery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R07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Competitor platform already in use; findings challenged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Evidence protocol citations; offer parallel run comparison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R08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OpenAI/Claude API outage during agent execution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Technical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Retry logic built into agents; 48h window for re-run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R09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Scope creep: client requests additional teams / data sources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Scope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RACI + change control process; park additional scope for Scale Pack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R10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rejected by CFO — ROI not credible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Evidence protocol citations; show conservative scenario; offer reference call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R11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privacy or GDPR concern raised mid-engagement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Legal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Anonymisation scripts; on-prem option; DPA in contract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PM</w:t>
            </w:r>
          </w:p>
        </w:tc>
        <w:tc>
          <w:tcPr>
            <w:tcW w:type="dxa" w:w="86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R12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guarantee triggered — refund required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Pre-qualification in discovery; requires &gt;3 critical bottlenecks to proceed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Risk Review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Week</w:t>
            </w:r>
          </w:p>
        </w:tc>
        <w:tc>
          <w:tcPr>
            <w:tcW w:type="dxa" w:w="72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331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1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Initial risk register review with Client PM at kick-off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Risk status update in weekly status call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Mid-point risk review — update ratings after AI run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 + Client PM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7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Pre-readout risk review — flag any unresolved risks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 + Sponsor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Closeout risk review — confirm all risks closed or handed over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