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PDLC VSM Platform</w:t>
      </w:r>
    </w:p>
    <w:p>
      <w:r>
        <w:rPr>
          <w:rFonts w:ascii="Calibri" w:hAnsi="Calibri"/>
          <w:b w:val="0"/>
          <w:i w:val="0"/>
          <w:color w:val="0F2D5E"/>
          <w:sz w:val="22"/>
        </w:rPr>
        <w:t>GTM Pack — Set 2: Pilot Engagement Pack</w:t>
      </w:r>
    </w:p>
    <w:p/>
    <w:p>
      <w:r>
        <w:rPr>
          <w:rFonts w:ascii="Calibri" w:hAnsi="Calibri"/>
          <w:b/>
          <w:i w:val="0"/>
          <w:color w:val="0F2D5E"/>
          <w:sz w:val="44"/>
        </w:rPr>
        <w:t>Pilot-to-Scale Framework</w:t>
      </w:r>
    </w:p>
    <w:p>
      <w:r>
        <w:rPr>
          <w:rFonts w:ascii="Calibri" w:hAnsi="Calibri"/>
          <w:b w:val="0"/>
          <w:i/>
          <w:color w:val="2563EB"/>
          <w:sz w:val="24"/>
        </w:rPr>
        <w:t>From Single-Team Pilot to Enterprise-Wide Value Stream Intelligence</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DOC-SET2-21</w:t>
            </w:r>
          </w:p>
        </w:tc>
        <w:tc>
          <w:tcPr>
            <w:tcW w:type="dxa" w:w="2351"/>
            <w:shd w:val="clear" w:color="auto" w:fill="EFF6FF"/>
          </w:tcPr>
          <w:p>
            <w:r>
              <w:rPr>
                <w:rFonts w:ascii="Calibri" w:hAnsi="Calibri"/>
                <w:b w:val="0"/>
                <w:i w:val="0"/>
                <w:sz w:val="19"/>
              </w:rPr>
              <w:t>v1.0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Overview</w:t>
      </w:r>
    </w:p>
    <w:p>
      <w:pPr>
        <w:spacing w:after="80"/>
      </w:pPr>
      <w:r>
        <w:rPr>
          <w:rFonts w:ascii="Calibri" w:hAnsi="Calibri"/>
          <w:b w:val="0"/>
          <w:i w:val="0"/>
          <w:sz w:val="21"/>
        </w:rPr>
        <w:t>The Pilot-to-Scale Framework defines the pathway from a single-team paid pilot to a full enterprise deployment of the PDLC VSM Platform. It is structured in three horizons, each building on the foundation of the previous, and is designed to maximise value capture while managing organisational change at an appropriate pace.</w:t>
      </w:r>
    </w:p>
    <w:p>
      <w:pPr>
        <w:spacing w:before="120" w:after="120"/>
        <w:ind w:left="480" w:right="480"/>
        <w:shd w:val="clear" w:color="auto" w:fill="DBEAFE"/>
      </w:pPr>
      <w:r>
        <w:rPr>
          <w:rFonts w:ascii="Calibri" w:hAnsi="Calibri"/>
          <w:b w:val="0"/>
          <w:i/>
          <w:color w:val="0F2D5E"/>
          <w:sz w:val="21"/>
        </w:rPr>
        <w:t>Typical timeline: Pilot (8 weeks) → Scale Phase 1 (3 months) → Scale Phase 2 (6 months) → Enterprise (12 months). ROI scales non-linearly: each additional team added generates approximately 65% of the ROI of the first team due to shared infrastructure and institutional knowledge.</w:t>
      </w:r>
    </w:p>
    <w:p>
      <w:pPr>
        <w:spacing w:before="280" w:after="80"/>
      </w:pPr>
      <w:r>
        <w:rPr>
          <w:rFonts w:ascii="Calibri" w:hAnsi="Calibri"/>
          <w:b/>
          <w:i w:val="0"/>
          <w:color w:val="0F2D5E"/>
          <w:sz w:val="32"/>
        </w:rPr>
        <w:t>Horizon Model</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152"/>
            <w:shd w:val="clear" w:color="auto" w:fill="0F2D5E"/>
          </w:tcPr>
          <w:p>
            <w:pPr>
              <w:jc w:val="center"/>
            </w:pPr>
            <w:r>
              <w:rPr>
                <w:rFonts w:ascii="Calibri" w:hAnsi="Calibri"/>
                <w:b/>
                <w:i w:val="0"/>
                <w:color w:val="FFFFFF"/>
                <w:sz w:val="19"/>
              </w:rPr>
              <w:t>Horizon</w:t>
            </w:r>
          </w:p>
        </w:tc>
        <w:tc>
          <w:tcPr>
            <w:tcW w:type="dxa" w:w="2160"/>
            <w:shd w:val="clear" w:color="auto" w:fill="0F2D5E"/>
          </w:tcPr>
          <w:p>
            <w:pPr>
              <w:jc w:val="center"/>
            </w:pPr>
            <w:r>
              <w:rPr>
                <w:rFonts w:ascii="Calibri" w:hAnsi="Calibri"/>
                <w:b/>
                <w:i w:val="0"/>
                <w:color w:val="FFFFFF"/>
                <w:sz w:val="19"/>
              </w:rPr>
              <w:t>Label</w:t>
            </w:r>
          </w:p>
        </w:tc>
        <w:tc>
          <w:tcPr>
            <w:tcW w:type="dxa" w:w="2160"/>
            <w:shd w:val="clear" w:color="auto" w:fill="0F2D5E"/>
          </w:tcPr>
          <w:p>
            <w:pPr>
              <w:jc w:val="center"/>
            </w:pPr>
            <w:r>
              <w:rPr>
                <w:rFonts w:ascii="Calibri" w:hAnsi="Calibri"/>
                <w:b/>
                <w:i w:val="0"/>
                <w:color w:val="FFFFFF"/>
                <w:sz w:val="19"/>
              </w:rPr>
              <w:t>Duration</w:t>
            </w:r>
          </w:p>
        </w:tc>
        <w:tc>
          <w:tcPr>
            <w:tcW w:type="dxa" w:w="3600"/>
            <w:shd w:val="clear" w:color="auto" w:fill="0F2D5E"/>
          </w:tcPr>
          <w:p>
            <w:pPr>
              <w:jc w:val="center"/>
            </w:pPr>
            <w:r>
              <w:rPr>
                <w:rFonts w:ascii="Calibri" w:hAnsi="Calibri"/>
                <w:b/>
                <w:i w:val="0"/>
                <w:color w:val="FFFFFF"/>
                <w:sz w:val="19"/>
              </w:rPr>
              <w:t>Scope</w:t>
            </w:r>
          </w:p>
        </w:tc>
        <w:tc>
          <w:tcPr>
            <w:tcW w:type="dxa" w:w="2448"/>
            <w:shd w:val="clear" w:color="auto" w:fill="0F2D5E"/>
          </w:tcPr>
          <w:p>
            <w:pPr>
              <w:jc w:val="center"/>
            </w:pPr>
            <w:r>
              <w:rPr>
                <w:rFonts w:ascii="Calibri" w:hAnsi="Calibri"/>
                <w:b/>
                <w:i w:val="0"/>
                <w:color w:val="FFFFFF"/>
                <w:sz w:val="19"/>
              </w:rPr>
              <w:t>Investment</w:t>
            </w:r>
          </w:p>
        </w:tc>
        <w:tc>
          <w:tcPr>
            <w:tcW w:type="dxa" w:w="2160"/>
            <w:shd w:val="clear" w:color="auto" w:fill="0F2D5E"/>
          </w:tcPr>
          <w:p>
            <w:pPr>
              <w:jc w:val="center"/>
            </w:pPr>
            <w:r>
              <w:rPr>
                <w:rFonts w:ascii="Calibri" w:hAnsi="Calibri"/>
                <w:b/>
                <w:i w:val="0"/>
                <w:color w:val="FFFFFF"/>
                <w:sz w:val="19"/>
              </w:rPr>
              <w:t>Typical ROI</w:t>
            </w:r>
          </w:p>
        </w:tc>
      </w:tr>
      <w:tr>
        <w:tc>
          <w:tcPr>
            <w:tcW w:type="dxa" w:w="1152"/>
            <w:shd w:val="clear" w:color="auto" w:fill="EFF6FF"/>
          </w:tcPr>
          <w:p>
            <w:r>
              <w:rPr>
                <w:rFonts w:ascii="Calibri" w:hAnsi="Calibri"/>
                <w:b w:val="0"/>
                <w:i w:val="0"/>
                <w:sz w:val="19"/>
              </w:rPr>
              <w:t>H0</w:t>
            </w:r>
          </w:p>
        </w:tc>
        <w:tc>
          <w:tcPr>
            <w:tcW w:type="dxa" w:w="2160"/>
            <w:shd w:val="clear" w:color="auto" w:fill="EFF6FF"/>
          </w:tcPr>
          <w:p>
            <w:r>
              <w:rPr>
                <w:rFonts w:ascii="Calibri" w:hAnsi="Calibri"/>
                <w:b w:val="0"/>
                <w:i w:val="0"/>
                <w:sz w:val="19"/>
              </w:rPr>
              <w:t>Pilot</w:t>
            </w:r>
          </w:p>
        </w:tc>
        <w:tc>
          <w:tcPr>
            <w:tcW w:type="dxa" w:w="2160"/>
            <w:shd w:val="clear" w:color="auto" w:fill="EFF6FF"/>
          </w:tcPr>
          <w:p>
            <w:r>
              <w:rPr>
                <w:rFonts w:ascii="Calibri" w:hAnsi="Calibri"/>
                <w:b w:val="0"/>
                <w:i w:val="0"/>
                <w:sz w:val="19"/>
              </w:rPr>
              <w:t>8 weeks</w:t>
            </w:r>
          </w:p>
        </w:tc>
        <w:tc>
          <w:tcPr>
            <w:tcW w:type="dxa" w:w="3600"/>
            <w:shd w:val="clear" w:color="auto" w:fill="EFF6FF"/>
          </w:tcPr>
          <w:p>
            <w:r>
              <w:rPr>
                <w:rFonts w:ascii="Calibri" w:hAnsi="Calibri"/>
                <w:b w:val="0"/>
                <w:i w:val="0"/>
                <w:sz w:val="19"/>
              </w:rPr>
              <w:t>1 team, 1 product group</w:t>
            </w:r>
          </w:p>
        </w:tc>
        <w:tc>
          <w:tcPr>
            <w:tcW w:type="dxa" w:w="2448"/>
            <w:shd w:val="clear" w:color="auto" w:fill="EFF6FF"/>
          </w:tcPr>
          <w:p>
            <w:r>
              <w:rPr>
                <w:rFonts w:ascii="Calibri" w:hAnsi="Calibri"/>
                <w:b w:val="0"/>
                <w:i w:val="0"/>
                <w:sz w:val="19"/>
              </w:rPr>
              <w:t>$150K</w:t>
            </w:r>
          </w:p>
        </w:tc>
        <w:tc>
          <w:tcPr>
            <w:tcW w:type="dxa" w:w="2160"/>
            <w:shd w:val="clear" w:color="auto" w:fill="EFF6FF"/>
          </w:tcPr>
          <w:p>
            <w:r>
              <w:rPr>
                <w:rFonts w:ascii="Calibri" w:hAnsi="Calibri"/>
                <w:b w:val="0"/>
                <w:i w:val="0"/>
                <w:sz w:val="19"/>
              </w:rPr>
              <w:t>3–5× (annualised)</w:t>
            </w:r>
          </w:p>
        </w:tc>
      </w:tr>
      <w:tr>
        <w:tc>
          <w:tcPr>
            <w:tcW w:type="dxa" w:w="1152"/>
          </w:tcPr>
          <w:p>
            <w:r>
              <w:rPr>
                <w:rFonts w:ascii="Calibri" w:hAnsi="Calibri"/>
                <w:b w:val="0"/>
                <w:i w:val="0"/>
                <w:sz w:val="19"/>
              </w:rPr>
              <w:t>H1</w:t>
            </w:r>
          </w:p>
        </w:tc>
        <w:tc>
          <w:tcPr>
            <w:tcW w:type="dxa" w:w="2160"/>
          </w:tcPr>
          <w:p>
            <w:r>
              <w:rPr>
                <w:rFonts w:ascii="Calibri" w:hAnsi="Calibri"/>
                <w:b w:val="0"/>
                <w:i w:val="0"/>
                <w:sz w:val="19"/>
              </w:rPr>
              <w:t>Scale Phase 1</w:t>
            </w:r>
          </w:p>
        </w:tc>
        <w:tc>
          <w:tcPr>
            <w:tcW w:type="dxa" w:w="2160"/>
          </w:tcPr>
          <w:p>
            <w:r>
              <w:rPr>
                <w:rFonts w:ascii="Calibri" w:hAnsi="Calibri"/>
                <w:b w:val="0"/>
                <w:i w:val="0"/>
                <w:sz w:val="19"/>
              </w:rPr>
              <w:t>3 months</w:t>
            </w:r>
          </w:p>
        </w:tc>
        <w:tc>
          <w:tcPr>
            <w:tcW w:type="dxa" w:w="3600"/>
          </w:tcPr>
          <w:p>
            <w:r>
              <w:rPr>
                <w:rFonts w:ascii="Calibri" w:hAnsi="Calibri"/>
                <w:b w:val="0"/>
                <w:i w:val="0"/>
                <w:sz w:val="19"/>
              </w:rPr>
              <w:t>3–5 teams, 1 portfolio</w:t>
            </w:r>
          </w:p>
        </w:tc>
        <w:tc>
          <w:tcPr>
            <w:tcW w:type="dxa" w:w="2448"/>
          </w:tcPr>
          <w:p>
            <w:r>
              <w:rPr>
                <w:rFonts w:ascii="Calibri" w:hAnsi="Calibri"/>
                <w:b w:val="0"/>
                <w:i w:val="0"/>
                <w:sz w:val="19"/>
              </w:rPr>
              <w:t>$300–500K</w:t>
            </w:r>
          </w:p>
        </w:tc>
        <w:tc>
          <w:tcPr>
            <w:tcW w:type="dxa" w:w="2160"/>
          </w:tcPr>
          <w:p>
            <w:r>
              <w:rPr>
                <w:rFonts w:ascii="Calibri" w:hAnsi="Calibri"/>
                <w:b w:val="0"/>
                <w:i w:val="0"/>
                <w:sz w:val="19"/>
              </w:rPr>
              <w:t>4–6×</w:t>
            </w:r>
          </w:p>
        </w:tc>
      </w:tr>
      <w:tr>
        <w:tc>
          <w:tcPr>
            <w:tcW w:type="dxa" w:w="1152"/>
            <w:shd w:val="clear" w:color="auto" w:fill="EFF6FF"/>
          </w:tcPr>
          <w:p>
            <w:r>
              <w:rPr>
                <w:rFonts w:ascii="Calibri" w:hAnsi="Calibri"/>
                <w:b w:val="0"/>
                <w:i w:val="0"/>
                <w:sz w:val="19"/>
              </w:rPr>
              <w:t>H2</w:t>
            </w:r>
          </w:p>
        </w:tc>
        <w:tc>
          <w:tcPr>
            <w:tcW w:type="dxa" w:w="2160"/>
            <w:shd w:val="clear" w:color="auto" w:fill="EFF6FF"/>
          </w:tcPr>
          <w:p>
            <w:r>
              <w:rPr>
                <w:rFonts w:ascii="Calibri" w:hAnsi="Calibri"/>
                <w:b w:val="0"/>
                <w:i w:val="0"/>
                <w:sz w:val="19"/>
              </w:rPr>
              <w:t>Scale Phase 2</w:t>
            </w:r>
          </w:p>
        </w:tc>
        <w:tc>
          <w:tcPr>
            <w:tcW w:type="dxa" w:w="2160"/>
            <w:shd w:val="clear" w:color="auto" w:fill="EFF6FF"/>
          </w:tcPr>
          <w:p>
            <w:r>
              <w:rPr>
                <w:rFonts w:ascii="Calibri" w:hAnsi="Calibri"/>
                <w:b w:val="0"/>
                <w:i w:val="0"/>
                <w:sz w:val="19"/>
              </w:rPr>
              <w:t>6 months</w:t>
            </w:r>
          </w:p>
        </w:tc>
        <w:tc>
          <w:tcPr>
            <w:tcW w:type="dxa" w:w="3600"/>
            <w:shd w:val="clear" w:color="auto" w:fill="EFF6FF"/>
          </w:tcPr>
          <w:p>
            <w:r>
              <w:rPr>
                <w:rFonts w:ascii="Calibri" w:hAnsi="Calibri"/>
                <w:b w:val="0"/>
                <w:i w:val="0"/>
                <w:sz w:val="19"/>
              </w:rPr>
              <w:t>10–20 teams, 2–3 portfolios</w:t>
            </w:r>
          </w:p>
        </w:tc>
        <w:tc>
          <w:tcPr>
            <w:tcW w:type="dxa" w:w="2448"/>
            <w:shd w:val="clear" w:color="auto" w:fill="EFF6FF"/>
          </w:tcPr>
          <w:p>
            <w:r>
              <w:rPr>
                <w:rFonts w:ascii="Calibri" w:hAnsi="Calibri"/>
                <w:b w:val="0"/>
                <w:i w:val="0"/>
                <w:sz w:val="19"/>
              </w:rPr>
              <w:t>$800K–1.2M</w:t>
            </w:r>
          </w:p>
        </w:tc>
        <w:tc>
          <w:tcPr>
            <w:tcW w:type="dxa" w:w="2160"/>
            <w:shd w:val="clear" w:color="auto" w:fill="EFF6FF"/>
          </w:tcPr>
          <w:p>
            <w:r>
              <w:rPr>
                <w:rFonts w:ascii="Calibri" w:hAnsi="Calibri"/>
                <w:b w:val="0"/>
                <w:i w:val="0"/>
                <w:sz w:val="19"/>
              </w:rPr>
              <w:t>5–8×</w:t>
            </w:r>
          </w:p>
        </w:tc>
      </w:tr>
      <w:tr>
        <w:tc>
          <w:tcPr>
            <w:tcW w:type="dxa" w:w="1152"/>
          </w:tcPr>
          <w:p>
            <w:r>
              <w:rPr>
                <w:rFonts w:ascii="Calibri" w:hAnsi="Calibri"/>
                <w:b w:val="0"/>
                <w:i w:val="0"/>
                <w:sz w:val="19"/>
              </w:rPr>
              <w:t>H3</w:t>
            </w:r>
          </w:p>
        </w:tc>
        <w:tc>
          <w:tcPr>
            <w:tcW w:type="dxa" w:w="2160"/>
          </w:tcPr>
          <w:p>
            <w:r>
              <w:rPr>
                <w:rFonts w:ascii="Calibri" w:hAnsi="Calibri"/>
                <w:b w:val="0"/>
                <w:i w:val="0"/>
                <w:sz w:val="19"/>
              </w:rPr>
              <w:t>Enterprise</w:t>
            </w:r>
          </w:p>
        </w:tc>
        <w:tc>
          <w:tcPr>
            <w:tcW w:type="dxa" w:w="2160"/>
          </w:tcPr>
          <w:p>
            <w:r>
              <w:rPr>
                <w:rFonts w:ascii="Calibri" w:hAnsi="Calibri"/>
                <w:b w:val="0"/>
                <w:i w:val="0"/>
                <w:sz w:val="19"/>
              </w:rPr>
              <w:t>12 months</w:t>
            </w:r>
          </w:p>
        </w:tc>
        <w:tc>
          <w:tcPr>
            <w:tcW w:type="dxa" w:w="3600"/>
          </w:tcPr>
          <w:p>
            <w:r>
              <w:rPr>
                <w:rFonts w:ascii="Calibri" w:hAnsi="Calibri"/>
                <w:b w:val="0"/>
                <w:i w:val="0"/>
                <w:sz w:val="19"/>
              </w:rPr>
              <w:t>All teams, org-wide benchmarking</w:t>
            </w:r>
          </w:p>
        </w:tc>
        <w:tc>
          <w:tcPr>
            <w:tcW w:type="dxa" w:w="2448"/>
          </w:tcPr>
          <w:p>
            <w:r>
              <w:rPr>
                <w:rFonts w:ascii="Calibri" w:hAnsi="Calibri"/>
                <w:b w:val="0"/>
                <w:i w:val="0"/>
                <w:sz w:val="19"/>
              </w:rPr>
              <w:t>$2–3M</w:t>
            </w:r>
          </w:p>
        </w:tc>
        <w:tc>
          <w:tcPr>
            <w:tcW w:type="dxa" w:w="2160"/>
          </w:tcPr>
          <w:p>
            <w:r>
              <w:rPr>
                <w:rFonts w:ascii="Calibri" w:hAnsi="Calibri"/>
                <w:b w:val="0"/>
                <w:i w:val="0"/>
                <w:sz w:val="19"/>
              </w:rPr>
              <w:t>6–10×</w:t>
            </w:r>
          </w:p>
        </w:tc>
      </w:tr>
    </w:tbl>
    <w:p/>
    <w:p>
      <w:pPr>
        <w:spacing w:before="280" w:after="80"/>
      </w:pPr>
      <w:r>
        <w:rPr>
          <w:rFonts w:ascii="Calibri" w:hAnsi="Calibri"/>
          <w:b/>
          <w:i w:val="0"/>
          <w:color w:val="0F2D5E"/>
          <w:sz w:val="32"/>
        </w:rPr>
        <w:t>Scale Readiness Criteria</w:t>
      </w:r>
    </w:p>
    <w:p>
      <w:pPr>
        <w:spacing w:before="200" w:after="60"/>
      </w:pPr>
      <w:r>
        <w:rPr>
          <w:rFonts w:ascii="Calibri" w:hAnsi="Calibri"/>
          <w:b/>
          <w:i w:val="0"/>
          <w:color w:val="2563EB"/>
          <w:sz w:val="26"/>
        </w:rPr>
        <w:t>Minimum Criteria to Proceed to Scale Phase 1</w:t>
      </w:r>
    </w:p>
    <w:p>
      <w:pPr>
        <w:pStyle w:val="ListBullet"/>
        <w:spacing w:after="40"/>
        <w:ind w:left="360"/>
      </w:pPr>
      <w:r>
        <w:rPr>
          <w:rFonts w:ascii="Calibri" w:hAnsi="Calibri"/>
          <w:b w:val="0"/>
          <w:i w:val="0"/>
          <w:sz w:val="21"/>
        </w:rPr>
        <w:t>Pilot Success Scorecard total ≥ 70 points</w:t>
      </w:r>
    </w:p>
    <w:p>
      <w:pPr>
        <w:pStyle w:val="ListBullet"/>
        <w:spacing w:after="40"/>
        <w:ind w:left="360"/>
      </w:pPr>
      <w:r>
        <w:rPr>
          <w:rFonts w:ascii="Calibri" w:hAnsi="Calibri"/>
          <w:b w:val="0"/>
          <w:i w:val="0"/>
          <w:sz w:val="21"/>
        </w:rPr>
        <w:t>At least 1 senior stakeholder (CTO or VP Eng) has seen the executive readout</w:t>
      </w:r>
    </w:p>
    <w:p>
      <w:pPr>
        <w:pStyle w:val="ListBullet"/>
        <w:spacing w:after="40"/>
        <w:ind w:left="360"/>
      </w:pPr>
      <w:r>
        <w:rPr>
          <w:rFonts w:ascii="Calibri" w:hAnsi="Calibri"/>
          <w:b w:val="0"/>
          <w:i w:val="0"/>
          <w:sz w:val="21"/>
        </w:rPr>
        <w:t>At least 1 bottleneck remediation has been approved by the sponsor</w:t>
      </w:r>
    </w:p>
    <w:p>
      <w:pPr>
        <w:pStyle w:val="ListBullet"/>
        <w:spacing w:after="40"/>
        <w:ind w:left="360"/>
      </w:pPr>
      <w:r>
        <w:rPr>
          <w:rFonts w:ascii="Calibri" w:hAnsi="Calibri"/>
          <w:b w:val="0"/>
          <w:i w:val="0"/>
          <w:sz w:val="21"/>
        </w:rPr>
        <w:t>Platform administrator is certified and active</w:t>
      </w:r>
    </w:p>
    <w:p>
      <w:pPr>
        <w:pStyle w:val="ListBullet"/>
        <w:spacing w:after="40"/>
        <w:ind w:left="360"/>
      </w:pPr>
      <w:r>
        <w:rPr>
          <w:rFonts w:ascii="Calibri" w:hAnsi="Calibri"/>
          <w:b w:val="0"/>
          <w:i w:val="0"/>
          <w:sz w:val="21"/>
        </w:rPr>
        <w:t>Scale licence commercial terms agreed (or under negotiation)</w:t>
      </w:r>
    </w:p>
    <w:p>
      <w:pPr>
        <w:spacing w:before="200" w:after="60"/>
      </w:pPr>
      <w:r>
        <w:rPr>
          <w:rFonts w:ascii="Calibri" w:hAnsi="Calibri"/>
          <w:b/>
          <w:i w:val="0"/>
          <w:color w:val="2563EB"/>
          <w:sz w:val="26"/>
        </w:rPr>
        <w:t>Recommended Criteria (accelerate timeline if met)</w:t>
      </w:r>
    </w:p>
    <w:p>
      <w:pPr>
        <w:pStyle w:val="ListBullet"/>
        <w:spacing w:after="40"/>
        <w:ind w:left="360"/>
      </w:pPr>
      <w:r>
        <w:rPr>
          <w:rFonts w:ascii="Calibri" w:hAnsi="Calibri"/>
          <w:b w:val="0"/>
          <w:i w:val="0"/>
          <w:sz w:val="21"/>
        </w:rPr>
        <w:t>Pilot scorecard ≥ 85 points</w:t>
      </w:r>
    </w:p>
    <w:p>
      <w:pPr>
        <w:pStyle w:val="ListBullet"/>
        <w:spacing w:after="40"/>
        <w:ind w:left="360"/>
      </w:pPr>
      <w:r>
        <w:rPr>
          <w:rFonts w:ascii="Calibri" w:hAnsi="Calibri"/>
          <w:b w:val="0"/>
          <w:i w:val="0"/>
          <w:sz w:val="21"/>
        </w:rPr>
        <w:t>CFO has seen and endorsed the business case</w:t>
      </w:r>
    </w:p>
    <w:p>
      <w:pPr>
        <w:pStyle w:val="ListBullet"/>
        <w:spacing w:after="40"/>
        <w:ind w:left="360"/>
      </w:pPr>
      <w:r>
        <w:rPr>
          <w:rFonts w:ascii="Calibri" w:hAnsi="Calibri"/>
          <w:b w:val="0"/>
          <w:i w:val="0"/>
          <w:sz w:val="21"/>
        </w:rPr>
        <w:t>Second team lead has expressed interest (internal pull)</w:t>
      </w:r>
    </w:p>
    <w:p>
      <w:pPr>
        <w:pStyle w:val="ListBullet"/>
        <w:spacing w:after="40"/>
        <w:ind w:left="360"/>
      </w:pPr>
      <w:r>
        <w:rPr>
          <w:rFonts w:ascii="Calibri" w:hAnsi="Calibri"/>
          <w:b w:val="0"/>
          <w:i w:val="0"/>
          <w:sz w:val="21"/>
        </w:rPr>
        <w:t>Reference case study agreed for publication</w:t>
      </w:r>
    </w:p>
    <w:p>
      <w:pPr>
        <w:pStyle w:val="ListBullet"/>
        <w:spacing w:after="40"/>
        <w:ind w:left="360"/>
      </w:pPr>
      <w:r>
        <w:rPr>
          <w:rFonts w:ascii="Calibri" w:hAnsi="Calibri"/>
          <w:b w:val="0"/>
          <w:i w:val="0"/>
          <w:sz w:val="21"/>
        </w:rPr>
        <w:t>Quick Win implementation started within pilot window</w:t>
      </w:r>
    </w:p>
    <w:p>
      <w:pPr>
        <w:spacing w:before="280" w:after="80"/>
      </w:pPr>
      <w:r>
        <w:rPr>
          <w:rFonts w:ascii="Calibri" w:hAnsi="Calibri"/>
          <w:b/>
          <w:i w:val="0"/>
          <w:color w:val="0F2D5E"/>
          <w:sz w:val="32"/>
        </w:rPr>
        <w:t>Scale Phase 1: Portfolio Expansion (3 Months)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F2D5E"/>
          </w:tcPr>
          <w:p>
            <w:pPr>
              <w:jc w:val="center"/>
            </w:pPr>
            <w:r>
              <w:rPr>
                <w:rFonts w:ascii="Calibri" w:hAnsi="Calibri"/>
                <w:b/>
                <w:i w:val="0"/>
                <w:color w:val="FFFFFF"/>
                <w:sz w:val="19"/>
              </w:rPr>
              <w:t>Month</w:t>
            </w:r>
          </w:p>
        </w:tc>
        <w:tc>
          <w:tcPr>
            <w:tcW w:type="dxa" w:w="5472"/>
            <w:shd w:val="clear" w:color="auto" w:fill="0F2D5E"/>
          </w:tcPr>
          <w:p>
            <w:pPr>
              <w:jc w:val="center"/>
            </w:pPr>
            <w:r>
              <w:rPr>
                <w:rFonts w:ascii="Calibri" w:hAnsi="Calibri"/>
                <w:b/>
                <w:i w:val="0"/>
                <w:color w:val="FFFFFF"/>
                <w:sz w:val="19"/>
              </w:rPr>
              <w:t>Activity</w:t>
            </w:r>
          </w:p>
        </w:tc>
        <w:tc>
          <w:tcPr>
            <w:tcW w:type="dxa" w:w="5040"/>
            <w:shd w:val="clear" w:color="auto" w:fill="0F2D5E"/>
          </w:tcPr>
          <w:p>
            <w:pPr>
              <w:jc w:val="center"/>
            </w:pPr>
            <w:r>
              <w:rPr>
                <w:rFonts w:ascii="Calibri" w:hAnsi="Calibri"/>
                <w:b/>
                <w:i w:val="0"/>
                <w:color w:val="FFFFFF"/>
                <w:sz w:val="19"/>
              </w:rPr>
              <w:t>Output</w:t>
            </w:r>
          </w:p>
        </w:tc>
      </w:tr>
      <w:tr>
        <w:tc>
          <w:tcPr>
            <w:tcW w:type="dxa" w:w="1728"/>
            <w:shd w:val="clear" w:color="auto" w:fill="EFF6FF"/>
          </w:tcPr>
          <w:p>
            <w:r>
              <w:rPr>
                <w:rFonts w:ascii="Calibri" w:hAnsi="Calibri"/>
                <w:b w:val="0"/>
                <w:i w:val="0"/>
                <w:sz w:val="19"/>
              </w:rPr>
              <w:t>Month 1</w:t>
            </w:r>
          </w:p>
        </w:tc>
        <w:tc>
          <w:tcPr>
            <w:tcW w:type="dxa" w:w="5472"/>
            <w:shd w:val="clear" w:color="auto" w:fill="EFF6FF"/>
          </w:tcPr>
          <w:p>
            <w:r>
              <w:rPr>
                <w:rFonts w:ascii="Calibri" w:hAnsi="Calibri"/>
                <w:b w:val="0"/>
                <w:i w:val="0"/>
                <w:sz w:val="19"/>
              </w:rPr>
              <w:t>Onboard 2 additional teams (same product group)</w:t>
            </w:r>
          </w:p>
        </w:tc>
        <w:tc>
          <w:tcPr>
            <w:tcW w:type="dxa" w:w="5040"/>
            <w:shd w:val="clear" w:color="auto" w:fill="EFF6FF"/>
          </w:tcPr>
          <w:p>
            <w:r>
              <w:rPr>
                <w:rFonts w:ascii="Calibri" w:hAnsi="Calibri"/>
                <w:b w:val="0"/>
                <w:i w:val="0"/>
                <w:sz w:val="19"/>
              </w:rPr>
              <w:t>3 team VSM baselines</w:t>
            </w:r>
          </w:p>
        </w:tc>
      </w:tr>
      <w:tr>
        <w:tc>
          <w:tcPr>
            <w:tcW w:type="dxa" w:w="1728"/>
          </w:tcPr>
          <w:p>
            <w:r>
              <w:rPr>
                <w:rFonts w:ascii="Calibri" w:hAnsi="Calibri"/>
                <w:b w:val="0"/>
                <w:i w:val="0"/>
                <w:sz w:val="19"/>
              </w:rPr>
              <w:t>Month 1</w:t>
            </w:r>
          </w:p>
        </w:tc>
        <w:tc>
          <w:tcPr>
            <w:tcW w:type="dxa" w:w="5472"/>
          </w:tcPr>
          <w:p>
            <w:r>
              <w:rPr>
                <w:rFonts w:ascii="Calibri" w:hAnsi="Calibri"/>
                <w:b w:val="0"/>
                <w:i w:val="0"/>
                <w:sz w:val="19"/>
              </w:rPr>
              <w:t>Enable portfolio-level aggregation view</w:t>
            </w:r>
          </w:p>
        </w:tc>
        <w:tc>
          <w:tcPr>
            <w:tcW w:type="dxa" w:w="5040"/>
          </w:tcPr>
          <w:p>
            <w:r>
              <w:rPr>
                <w:rFonts w:ascii="Calibri" w:hAnsi="Calibri"/>
                <w:b w:val="0"/>
                <w:i w:val="0"/>
                <w:sz w:val="19"/>
              </w:rPr>
              <w:t>Portfolio VSM dashboard</w:t>
            </w:r>
          </w:p>
        </w:tc>
      </w:tr>
      <w:tr>
        <w:tc>
          <w:tcPr>
            <w:tcW w:type="dxa" w:w="1728"/>
            <w:shd w:val="clear" w:color="auto" w:fill="EFF6FF"/>
          </w:tcPr>
          <w:p>
            <w:r>
              <w:rPr>
                <w:rFonts w:ascii="Calibri" w:hAnsi="Calibri"/>
                <w:b w:val="0"/>
                <w:i w:val="0"/>
                <w:sz w:val="19"/>
              </w:rPr>
              <w:t>Month 2</w:t>
            </w:r>
          </w:p>
        </w:tc>
        <w:tc>
          <w:tcPr>
            <w:tcW w:type="dxa" w:w="5472"/>
            <w:shd w:val="clear" w:color="auto" w:fill="EFF6FF"/>
          </w:tcPr>
          <w:p>
            <w:r>
              <w:rPr>
                <w:rFonts w:ascii="Calibri" w:hAnsi="Calibri"/>
                <w:b w:val="0"/>
                <w:i w:val="0"/>
                <w:sz w:val="19"/>
              </w:rPr>
              <w:t>Run DORA assessment for all 3 teams</w:t>
            </w:r>
          </w:p>
        </w:tc>
        <w:tc>
          <w:tcPr>
            <w:tcW w:type="dxa" w:w="5040"/>
            <w:shd w:val="clear" w:color="auto" w:fill="EFF6FF"/>
          </w:tcPr>
          <w:p>
            <w:r>
              <w:rPr>
                <w:rFonts w:ascii="Calibri" w:hAnsi="Calibri"/>
                <w:b w:val="0"/>
                <w:i w:val="0"/>
                <w:sz w:val="19"/>
              </w:rPr>
              <w:t>Portfolio DORA scorecard</w:t>
            </w:r>
          </w:p>
        </w:tc>
      </w:tr>
      <w:tr>
        <w:tc>
          <w:tcPr>
            <w:tcW w:type="dxa" w:w="1728"/>
          </w:tcPr>
          <w:p>
            <w:r>
              <w:rPr>
                <w:rFonts w:ascii="Calibri" w:hAnsi="Calibri"/>
                <w:b w:val="0"/>
                <w:i w:val="0"/>
                <w:sz w:val="19"/>
              </w:rPr>
              <w:t>Month 2</w:t>
            </w:r>
          </w:p>
        </w:tc>
        <w:tc>
          <w:tcPr>
            <w:tcW w:type="dxa" w:w="5472"/>
          </w:tcPr>
          <w:p>
            <w:r>
              <w:rPr>
                <w:rFonts w:ascii="Calibri" w:hAnsi="Calibri"/>
                <w:b w:val="0"/>
                <w:i w:val="0"/>
                <w:sz w:val="19"/>
              </w:rPr>
              <w:t>Comparative bottleneck analysis (team vs. portfolio)</w:t>
            </w:r>
          </w:p>
        </w:tc>
        <w:tc>
          <w:tcPr>
            <w:tcW w:type="dxa" w:w="5040"/>
          </w:tcPr>
          <w:p>
            <w:r>
              <w:rPr>
                <w:rFonts w:ascii="Calibri" w:hAnsi="Calibri"/>
                <w:b w:val="0"/>
                <w:i w:val="0"/>
                <w:sz w:val="19"/>
              </w:rPr>
              <w:t>Cross-team insight report</w:t>
            </w:r>
          </w:p>
        </w:tc>
      </w:tr>
      <w:tr>
        <w:tc>
          <w:tcPr>
            <w:tcW w:type="dxa" w:w="1728"/>
            <w:shd w:val="clear" w:color="auto" w:fill="EFF6FF"/>
          </w:tcPr>
          <w:p>
            <w:r>
              <w:rPr>
                <w:rFonts w:ascii="Calibri" w:hAnsi="Calibri"/>
                <w:b w:val="0"/>
                <w:i w:val="0"/>
                <w:sz w:val="19"/>
              </w:rPr>
              <w:t>Month 3</w:t>
            </w:r>
          </w:p>
        </w:tc>
        <w:tc>
          <w:tcPr>
            <w:tcW w:type="dxa" w:w="5472"/>
            <w:shd w:val="clear" w:color="auto" w:fill="EFF6FF"/>
          </w:tcPr>
          <w:p>
            <w:r>
              <w:rPr>
                <w:rFonts w:ascii="Calibri" w:hAnsi="Calibri"/>
                <w:b w:val="0"/>
                <w:i w:val="0"/>
                <w:sz w:val="19"/>
              </w:rPr>
              <w:t>Portfolio business case (aggregate ROI)</w:t>
            </w:r>
          </w:p>
        </w:tc>
        <w:tc>
          <w:tcPr>
            <w:tcW w:type="dxa" w:w="5040"/>
            <w:shd w:val="clear" w:color="auto" w:fill="EFF6FF"/>
          </w:tcPr>
          <w:p>
            <w:r>
              <w:rPr>
                <w:rFonts w:ascii="Calibri" w:hAnsi="Calibri"/>
                <w:b w:val="0"/>
                <w:i w:val="0"/>
                <w:sz w:val="19"/>
              </w:rPr>
              <w:t>CFO presentation deck</w:t>
            </w:r>
          </w:p>
        </w:tc>
      </w:tr>
      <w:tr>
        <w:tc>
          <w:tcPr>
            <w:tcW w:type="dxa" w:w="1728"/>
          </w:tcPr>
          <w:p>
            <w:r>
              <w:rPr>
                <w:rFonts w:ascii="Calibri" w:hAnsi="Calibri"/>
                <w:b w:val="0"/>
                <w:i w:val="0"/>
                <w:sz w:val="19"/>
              </w:rPr>
              <w:t>Month 3</w:t>
            </w:r>
          </w:p>
        </w:tc>
        <w:tc>
          <w:tcPr>
            <w:tcW w:type="dxa" w:w="5472"/>
          </w:tcPr>
          <w:p>
            <w:r>
              <w:rPr>
                <w:rFonts w:ascii="Calibri" w:hAnsi="Calibri"/>
                <w:b w:val="0"/>
                <w:i w:val="0"/>
                <w:sz w:val="19"/>
              </w:rPr>
              <w:t>Quick Wins review: measure LT and FE improvement</w:t>
            </w:r>
          </w:p>
        </w:tc>
        <w:tc>
          <w:tcPr>
            <w:tcW w:type="dxa" w:w="5040"/>
          </w:tcPr>
          <w:p>
            <w:r>
              <w:rPr>
                <w:rFonts w:ascii="Calibri" w:hAnsi="Calibri"/>
                <w:b w:val="0"/>
                <w:i w:val="0"/>
                <w:sz w:val="19"/>
              </w:rPr>
              <w:t>First ROI realisation report</w:t>
            </w:r>
          </w:p>
        </w:tc>
      </w:tr>
    </w:tbl>
    <w:p/>
    <w:p>
      <w:pPr>
        <w:spacing w:before="280" w:after="80"/>
      </w:pPr>
      <w:r>
        <w:rPr>
          <w:rFonts w:ascii="Calibri" w:hAnsi="Calibri"/>
          <w:b/>
          <w:i w:val="0"/>
          <w:color w:val="0F2D5E"/>
          <w:sz w:val="32"/>
        </w:rPr>
        <w:t>Scale Phase 2: Enterprise Expansion (6 Months)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F2D5E"/>
          </w:tcPr>
          <w:p>
            <w:pPr>
              <w:jc w:val="center"/>
            </w:pPr>
            <w:r>
              <w:rPr>
                <w:rFonts w:ascii="Calibri" w:hAnsi="Calibri"/>
                <w:b/>
                <w:i w:val="0"/>
                <w:color w:val="FFFFFF"/>
                <w:sz w:val="19"/>
              </w:rPr>
              <w:t>Quarter</w:t>
            </w:r>
          </w:p>
        </w:tc>
        <w:tc>
          <w:tcPr>
            <w:tcW w:type="dxa" w:w="5472"/>
            <w:shd w:val="clear" w:color="auto" w:fill="0F2D5E"/>
          </w:tcPr>
          <w:p>
            <w:pPr>
              <w:jc w:val="center"/>
            </w:pPr>
            <w:r>
              <w:rPr>
                <w:rFonts w:ascii="Calibri" w:hAnsi="Calibri"/>
                <w:b/>
                <w:i w:val="0"/>
                <w:color w:val="FFFFFF"/>
                <w:sz w:val="19"/>
              </w:rPr>
              <w:t>Activity</w:t>
            </w:r>
          </w:p>
        </w:tc>
        <w:tc>
          <w:tcPr>
            <w:tcW w:type="dxa" w:w="5040"/>
            <w:shd w:val="clear" w:color="auto" w:fill="0F2D5E"/>
          </w:tcPr>
          <w:p>
            <w:pPr>
              <w:jc w:val="center"/>
            </w:pPr>
            <w:r>
              <w:rPr>
                <w:rFonts w:ascii="Calibri" w:hAnsi="Calibri"/>
                <w:b/>
                <w:i w:val="0"/>
                <w:color w:val="FFFFFF"/>
                <w:sz w:val="19"/>
              </w:rPr>
              <w:t>Output</w:t>
            </w:r>
          </w:p>
        </w:tc>
      </w:tr>
      <w:tr>
        <w:tc>
          <w:tcPr>
            <w:tcW w:type="dxa" w:w="1728"/>
            <w:shd w:val="clear" w:color="auto" w:fill="EFF6FF"/>
          </w:tcPr>
          <w:p>
            <w:r>
              <w:rPr>
                <w:rFonts w:ascii="Calibri" w:hAnsi="Calibri"/>
                <w:b w:val="0"/>
                <w:i w:val="0"/>
                <w:sz w:val="19"/>
              </w:rPr>
              <w:t>Q1</w:t>
            </w:r>
          </w:p>
        </w:tc>
        <w:tc>
          <w:tcPr>
            <w:tcW w:type="dxa" w:w="5472"/>
            <w:shd w:val="clear" w:color="auto" w:fill="EFF6FF"/>
          </w:tcPr>
          <w:p>
            <w:r>
              <w:rPr>
                <w:rFonts w:ascii="Calibri" w:hAnsi="Calibri"/>
                <w:b w:val="0"/>
                <w:i w:val="0"/>
                <w:sz w:val="19"/>
              </w:rPr>
              <w:t>Onboard 5–10 additional teams across 2 portfolios</w:t>
            </w:r>
          </w:p>
        </w:tc>
        <w:tc>
          <w:tcPr>
            <w:tcW w:type="dxa" w:w="5040"/>
            <w:shd w:val="clear" w:color="auto" w:fill="EFF6FF"/>
          </w:tcPr>
          <w:p>
            <w:r>
              <w:rPr>
                <w:rFonts w:ascii="Calibri" w:hAnsi="Calibri"/>
                <w:b w:val="0"/>
                <w:i w:val="0"/>
                <w:sz w:val="19"/>
              </w:rPr>
              <w:t>Multi-portfolio VSM view</w:t>
            </w:r>
          </w:p>
        </w:tc>
      </w:tr>
      <w:tr>
        <w:tc>
          <w:tcPr>
            <w:tcW w:type="dxa" w:w="1728"/>
          </w:tcPr>
          <w:p>
            <w:r>
              <w:rPr>
                <w:rFonts w:ascii="Calibri" w:hAnsi="Calibri"/>
                <w:b w:val="0"/>
                <w:i w:val="0"/>
                <w:sz w:val="19"/>
              </w:rPr>
              <w:t>Q1</w:t>
            </w:r>
          </w:p>
        </w:tc>
        <w:tc>
          <w:tcPr>
            <w:tcW w:type="dxa" w:w="5472"/>
          </w:tcPr>
          <w:p>
            <w:r>
              <w:rPr>
                <w:rFonts w:ascii="Calibri" w:hAnsi="Calibri"/>
                <w:b w:val="0"/>
                <w:i w:val="0"/>
                <w:sz w:val="19"/>
              </w:rPr>
              <w:t>Centralised benchmark database: org benchmarks vs. sector</w:t>
            </w:r>
          </w:p>
        </w:tc>
        <w:tc>
          <w:tcPr>
            <w:tcW w:type="dxa" w:w="5040"/>
          </w:tcPr>
          <w:p>
            <w:r>
              <w:rPr>
                <w:rFonts w:ascii="Calibri" w:hAnsi="Calibri"/>
                <w:b w:val="0"/>
                <w:i w:val="0"/>
                <w:sz w:val="19"/>
              </w:rPr>
              <w:t>Org benchmark report</w:t>
            </w:r>
          </w:p>
        </w:tc>
      </w:tr>
      <w:tr>
        <w:tc>
          <w:tcPr>
            <w:tcW w:type="dxa" w:w="1728"/>
            <w:shd w:val="clear" w:color="auto" w:fill="EFF6FF"/>
          </w:tcPr>
          <w:p>
            <w:r>
              <w:rPr>
                <w:rFonts w:ascii="Calibri" w:hAnsi="Calibri"/>
                <w:b w:val="0"/>
                <w:i w:val="0"/>
                <w:sz w:val="19"/>
              </w:rPr>
              <w:t>Q2</w:t>
            </w:r>
          </w:p>
        </w:tc>
        <w:tc>
          <w:tcPr>
            <w:tcW w:type="dxa" w:w="5472"/>
            <w:shd w:val="clear" w:color="auto" w:fill="EFF6FF"/>
          </w:tcPr>
          <w:p>
            <w:r>
              <w:rPr>
                <w:rFonts w:ascii="Calibri" w:hAnsi="Calibri"/>
                <w:b w:val="0"/>
                <w:i w:val="0"/>
                <w:sz w:val="19"/>
              </w:rPr>
              <w:t>AI-assisted transformation programme office</w:t>
            </w:r>
          </w:p>
        </w:tc>
        <w:tc>
          <w:tcPr>
            <w:tcW w:type="dxa" w:w="5040"/>
            <w:shd w:val="clear" w:color="auto" w:fill="EFF6FF"/>
          </w:tcPr>
          <w:p>
            <w:r>
              <w:rPr>
                <w:rFonts w:ascii="Calibri" w:hAnsi="Calibri"/>
                <w:b w:val="0"/>
                <w:i w:val="0"/>
                <w:sz w:val="19"/>
              </w:rPr>
              <w:t>PMO dashboard in platform</w:t>
            </w:r>
          </w:p>
        </w:tc>
      </w:tr>
      <w:tr>
        <w:tc>
          <w:tcPr>
            <w:tcW w:type="dxa" w:w="1728"/>
          </w:tcPr>
          <w:p>
            <w:r>
              <w:rPr>
                <w:rFonts w:ascii="Calibri" w:hAnsi="Calibri"/>
                <w:b w:val="0"/>
                <w:i w:val="0"/>
                <w:sz w:val="19"/>
              </w:rPr>
              <w:t>Q2</w:t>
            </w:r>
          </w:p>
        </w:tc>
        <w:tc>
          <w:tcPr>
            <w:tcW w:type="dxa" w:w="5472"/>
          </w:tcPr>
          <w:p>
            <w:r>
              <w:rPr>
                <w:rFonts w:ascii="Calibri" w:hAnsi="Calibri"/>
                <w:b w:val="0"/>
                <w:i w:val="0"/>
                <w:sz w:val="19"/>
              </w:rPr>
              <w:t>Integrate with ITSM (ServiceNow / Jira) for change tracking</w:t>
            </w:r>
          </w:p>
        </w:tc>
        <w:tc>
          <w:tcPr>
            <w:tcW w:type="dxa" w:w="5040"/>
          </w:tcPr>
          <w:p>
            <w:r>
              <w:rPr>
                <w:rFonts w:ascii="Calibri" w:hAnsi="Calibri"/>
                <w:b w:val="0"/>
                <w:i w:val="0"/>
                <w:sz w:val="19"/>
              </w:rPr>
              <w:t>Automated improvement tracking</w:t>
            </w:r>
          </w:p>
        </w:tc>
      </w:tr>
      <w:tr>
        <w:tc>
          <w:tcPr>
            <w:tcW w:type="dxa" w:w="1728"/>
            <w:shd w:val="clear" w:color="auto" w:fill="EFF6FF"/>
          </w:tcPr>
          <w:p>
            <w:r>
              <w:rPr>
                <w:rFonts w:ascii="Calibri" w:hAnsi="Calibri"/>
                <w:b w:val="0"/>
                <w:i w:val="0"/>
                <w:sz w:val="19"/>
              </w:rPr>
              <w:t>Q2</w:t>
            </w:r>
          </w:p>
        </w:tc>
        <w:tc>
          <w:tcPr>
            <w:tcW w:type="dxa" w:w="5472"/>
            <w:shd w:val="clear" w:color="auto" w:fill="EFF6FF"/>
          </w:tcPr>
          <w:p>
            <w:r>
              <w:rPr>
                <w:rFonts w:ascii="Calibri" w:hAnsi="Calibri"/>
                <w:b w:val="0"/>
                <w:i w:val="0"/>
                <w:sz w:val="19"/>
              </w:rPr>
              <w:t>Executive dashboard: ELT-level flow efficiency KPIs</w:t>
            </w:r>
          </w:p>
        </w:tc>
        <w:tc>
          <w:tcPr>
            <w:tcW w:type="dxa" w:w="5040"/>
            <w:shd w:val="clear" w:color="auto" w:fill="EFF6FF"/>
          </w:tcPr>
          <w:p>
            <w:r>
              <w:rPr>
                <w:rFonts w:ascii="Calibri" w:hAnsi="Calibri"/>
                <w:b w:val="0"/>
                <w:i w:val="0"/>
                <w:sz w:val="19"/>
              </w:rPr>
              <w:t>ELT monthly briefing pack</w:t>
            </w:r>
          </w:p>
        </w:tc>
      </w:tr>
      <w:tr>
        <w:tc>
          <w:tcPr>
            <w:tcW w:type="dxa" w:w="1728"/>
          </w:tcPr>
          <w:p>
            <w:r>
              <w:rPr>
                <w:rFonts w:ascii="Calibri" w:hAnsi="Calibri"/>
                <w:b w:val="0"/>
                <w:i w:val="0"/>
                <w:sz w:val="19"/>
              </w:rPr>
              <w:t>Q3</w:t>
            </w:r>
          </w:p>
        </w:tc>
        <w:tc>
          <w:tcPr>
            <w:tcW w:type="dxa" w:w="5472"/>
          </w:tcPr>
          <w:p>
            <w:r>
              <w:rPr>
                <w:rFonts w:ascii="Calibri" w:hAnsi="Calibri"/>
                <w:b w:val="0"/>
                <w:i w:val="0"/>
                <w:sz w:val="19"/>
              </w:rPr>
              <w:t>Benefits realisation tracking vs. business case</w:t>
            </w:r>
          </w:p>
        </w:tc>
        <w:tc>
          <w:tcPr>
            <w:tcW w:type="dxa" w:w="5040"/>
          </w:tcPr>
          <w:p>
            <w:r>
              <w:rPr>
                <w:rFonts w:ascii="Calibri" w:hAnsi="Calibri"/>
                <w:b w:val="0"/>
                <w:i w:val="0"/>
                <w:sz w:val="19"/>
              </w:rPr>
              <w:t>Benefits tracker (automated)</w:t>
            </w:r>
          </w:p>
        </w:tc>
      </w:tr>
      <w:tr>
        <w:tc>
          <w:tcPr>
            <w:tcW w:type="dxa" w:w="1728"/>
            <w:shd w:val="clear" w:color="auto" w:fill="EFF6FF"/>
          </w:tcPr>
          <w:p>
            <w:r>
              <w:rPr>
                <w:rFonts w:ascii="Calibri" w:hAnsi="Calibri"/>
                <w:b w:val="0"/>
                <w:i w:val="0"/>
                <w:sz w:val="19"/>
              </w:rPr>
              <w:t>Q3</w:t>
            </w:r>
          </w:p>
        </w:tc>
        <w:tc>
          <w:tcPr>
            <w:tcW w:type="dxa" w:w="5472"/>
            <w:shd w:val="clear" w:color="auto" w:fill="EFF6FF"/>
          </w:tcPr>
          <w:p>
            <w:r>
              <w:rPr>
                <w:rFonts w:ascii="Calibri" w:hAnsi="Calibri"/>
                <w:b w:val="0"/>
                <w:i w:val="0"/>
                <w:sz w:val="19"/>
              </w:rPr>
              <w:t>Competency uplift programme: platform certification for all leads</w:t>
            </w:r>
          </w:p>
        </w:tc>
        <w:tc>
          <w:tcPr>
            <w:tcW w:type="dxa" w:w="5040"/>
            <w:shd w:val="clear" w:color="auto" w:fill="EFF6FF"/>
          </w:tcPr>
          <w:p>
            <w:r>
              <w:rPr>
                <w:rFonts w:ascii="Calibri" w:hAnsi="Calibri"/>
                <w:b w:val="0"/>
                <w:i w:val="0"/>
                <w:sz w:val="19"/>
              </w:rPr>
              <w:t>Certified practitioner cohort</w:t>
            </w:r>
          </w:p>
        </w:tc>
      </w:tr>
    </w:tbl>
    <w:p/>
    <w:p>
      <w:pPr>
        <w:spacing w:before="280" w:after="80"/>
      </w:pPr>
      <w:r>
        <w:rPr>
          <w:rFonts w:ascii="Calibri" w:hAnsi="Calibri"/>
          <w:b/>
          <w:i w:val="0"/>
          <w:color w:val="0F2D5E"/>
          <w:sz w:val="32"/>
        </w:rPr>
        <w:t>Value Scaling Model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val="clear" w:color="auto" w:fill="0F2D5E"/>
          </w:tcPr>
          <w:p>
            <w:pPr>
              <w:jc w:val="center"/>
            </w:pPr>
            <w:r>
              <w:rPr>
                <w:rFonts w:ascii="Calibri" w:hAnsi="Calibri"/>
                <w:b/>
                <w:i w:val="0"/>
                <w:color w:val="FFFFFF"/>
                <w:sz w:val="19"/>
              </w:rPr>
              <w:t>Teams</w:t>
            </w:r>
          </w:p>
        </w:tc>
        <w:tc>
          <w:tcPr>
            <w:tcW w:type="dxa" w:w="3600"/>
            <w:shd w:val="clear" w:color="auto" w:fill="0F2D5E"/>
          </w:tcPr>
          <w:p>
            <w:pPr>
              <w:jc w:val="center"/>
            </w:pPr>
            <w:r>
              <w:rPr>
                <w:rFonts w:ascii="Calibri" w:hAnsi="Calibri"/>
                <w:b/>
                <w:i w:val="0"/>
                <w:color w:val="FFFFFF"/>
                <w:sz w:val="19"/>
              </w:rPr>
              <w:t>Annualised Savings (Expected)</w:t>
            </w:r>
          </w:p>
        </w:tc>
        <w:tc>
          <w:tcPr>
            <w:tcW w:type="dxa" w:w="2880"/>
            <w:shd w:val="clear" w:color="auto" w:fill="0F2D5E"/>
          </w:tcPr>
          <w:p>
            <w:pPr>
              <w:jc w:val="center"/>
            </w:pPr>
            <w:r>
              <w:rPr>
                <w:rFonts w:ascii="Calibri" w:hAnsi="Calibri"/>
                <w:b/>
                <w:i w:val="0"/>
                <w:color w:val="FFFFFF"/>
                <w:sz w:val="19"/>
              </w:rPr>
              <w:t>Platform Investment</w:t>
            </w:r>
          </w:p>
        </w:tc>
        <w:tc>
          <w:tcPr>
            <w:tcW w:type="dxa" w:w="2880"/>
            <w:shd w:val="clear" w:color="auto" w:fill="0F2D5E"/>
          </w:tcPr>
          <w:p>
            <w:pPr>
              <w:jc w:val="center"/>
            </w:pPr>
            <w:r>
              <w:rPr>
                <w:rFonts w:ascii="Calibri" w:hAnsi="Calibri"/>
                <w:b/>
                <w:i w:val="0"/>
                <w:color w:val="FFFFFF"/>
                <w:sz w:val="19"/>
              </w:rPr>
              <w:t>Net Value</w:t>
            </w:r>
          </w:p>
        </w:tc>
        <w:tc>
          <w:tcPr>
            <w:tcW w:type="dxa" w:w="2160"/>
            <w:shd w:val="clear" w:color="auto" w:fill="0F2D5E"/>
          </w:tcPr>
          <w:p>
            <w:pPr>
              <w:jc w:val="center"/>
            </w:pPr>
            <w:r>
              <w:rPr>
                <w:rFonts w:ascii="Calibri" w:hAnsi="Calibri"/>
                <w:b/>
                <w:i w:val="0"/>
                <w:color w:val="FFFFFF"/>
                <w:sz w:val="19"/>
              </w:rPr>
              <w:t>ROI</w:t>
            </w:r>
          </w:p>
        </w:tc>
      </w:tr>
      <w:tr>
        <w:tc>
          <w:tcPr>
            <w:tcW w:type="dxa" w:w="2160"/>
            <w:shd w:val="clear" w:color="auto" w:fill="EFF6FF"/>
          </w:tcPr>
          <w:p>
            <w:r>
              <w:rPr>
                <w:rFonts w:ascii="Calibri" w:hAnsi="Calibri"/>
                <w:b w:val="0"/>
                <w:i w:val="0"/>
                <w:sz w:val="19"/>
              </w:rPr>
              <w:t>1 (Pilot)</w:t>
            </w:r>
          </w:p>
        </w:tc>
        <w:tc>
          <w:tcPr>
            <w:tcW w:type="dxa" w:w="3600"/>
            <w:shd w:val="clear" w:color="auto" w:fill="EFF6FF"/>
          </w:tcPr>
          <w:p>
            <w:r>
              <w:rPr>
                <w:rFonts w:ascii="Calibri" w:hAnsi="Calibri"/>
                <w:b w:val="0"/>
                <w:i w:val="0"/>
                <w:sz w:val="19"/>
              </w:rPr>
              <w:t>$1.2–1.8M</w:t>
            </w:r>
          </w:p>
        </w:tc>
        <w:tc>
          <w:tcPr>
            <w:tcW w:type="dxa" w:w="2880"/>
            <w:shd w:val="clear" w:color="auto" w:fill="EFF6FF"/>
          </w:tcPr>
          <w:p>
            <w:r>
              <w:rPr>
                <w:rFonts w:ascii="Calibri" w:hAnsi="Calibri"/>
                <w:b w:val="0"/>
                <w:i w:val="0"/>
                <w:sz w:val="19"/>
              </w:rPr>
              <w:t>$150K</w:t>
            </w:r>
          </w:p>
        </w:tc>
        <w:tc>
          <w:tcPr>
            <w:tcW w:type="dxa" w:w="2880"/>
            <w:shd w:val="clear" w:color="auto" w:fill="EFF6FF"/>
          </w:tcPr>
          <w:p>
            <w:r>
              <w:rPr>
                <w:rFonts w:ascii="Calibri" w:hAnsi="Calibri"/>
                <w:b w:val="0"/>
                <w:i w:val="0"/>
                <w:sz w:val="19"/>
              </w:rPr>
              <w:t>$1.1–1.65M</w:t>
            </w:r>
          </w:p>
        </w:tc>
        <w:tc>
          <w:tcPr>
            <w:tcW w:type="dxa" w:w="2160"/>
            <w:shd w:val="clear" w:color="auto" w:fill="EFF6FF"/>
          </w:tcPr>
          <w:p>
            <w:r>
              <w:rPr>
                <w:rFonts w:ascii="Calibri" w:hAnsi="Calibri"/>
                <w:b w:val="0"/>
                <w:i w:val="0"/>
                <w:sz w:val="19"/>
              </w:rPr>
              <w:t>3–5×</w:t>
            </w:r>
          </w:p>
        </w:tc>
      </w:tr>
      <w:tr>
        <w:tc>
          <w:tcPr>
            <w:tcW w:type="dxa" w:w="2160"/>
          </w:tcPr>
          <w:p>
            <w:r>
              <w:rPr>
                <w:rFonts w:ascii="Calibri" w:hAnsi="Calibri"/>
                <w:b w:val="0"/>
                <w:i w:val="0"/>
                <w:sz w:val="19"/>
              </w:rPr>
              <w:t>3 (Phase 1)</w:t>
            </w:r>
          </w:p>
        </w:tc>
        <w:tc>
          <w:tcPr>
            <w:tcW w:type="dxa" w:w="3600"/>
          </w:tcPr>
          <w:p>
            <w:r>
              <w:rPr>
                <w:rFonts w:ascii="Calibri" w:hAnsi="Calibri"/>
                <w:b w:val="0"/>
                <w:i w:val="0"/>
                <w:sz w:val="19"/>
              </w:rPr>
              <w:t>$3.2–4.5M</w:t>
            </w:r>
          </w:p>
        </w:tc>
        <w:tc>
          <w:tcPr>
            <w:tcW w:type="dxa" w:w="2880"/>
          </w:tcPr>
          <w:p>
            <w:r>
              <w:rPr>
                <w:rFonts w:ascii="Calibri" w:hAnsi="Calibri"/>
                <w:b w:val="0"/>
                <w:i w:val="0"/>
                <w:sz w:val="19"/>
              </w:rPr>
              <w:t>$400K</w:t>
            </w:r>
          </w:p>
        </w:tc>
        <w:tc>
          <w:tcPr>
            <w:tcW w:type="dxa" w:w="2880"/>
          </w:tcPr>
          <w:p>
            <w:r>
              <w:rPr>
                <w:rFonts w:ascii="Calibri" w:hAnsi="Calibri"/>
                <w:b w:val="0"/>
                <w:i w:val="0"/>
                <w:sz w:val="19"/>
              </w:rPr>
              <w:t>$2.8–4.1M</w:t>
            </w:r>
          </w:p>
        </w:tc>
        <w:tc>
          <w:tcPr>
            <w:tcW w:type="dxa" w:w="2160"/>
          </w:tcPr>
          <w:p>
            <w:r>
              <w:rPr>
                <w:rFonts w:ascii="Calibri" w:hAnsi="Calibri"/>
                <w:b w:val="0"/>
                <w:i w:val="0"/>
                <w:sz w:val="19"/>
              </w:rPr>
              <w:t>5–8×</w:t>
            </w:r>
          </w:p>
        </w:tc>
      </w:tr>
      <w:tr>
        <w:tc>
          <w:tcPr>
            <w:tcW w:type="dxa" w:w="2160"/>
            <w:shd w:val="clear" w:color="auto" w:fill="EFF6FF"/>
          </w:tcPr>
          <w:p>
            <w:r>
              <w:rPr>
                <w:rFonts w:ascii="Calibri" w:hAnsi="Calibri"/>
                <w:b w:val="0"/>
                <w:i w:val="0"/>
                <w:sz w:val="19"/>
              </w:rPr>
              <w:t>10 (Phase 2)</w:t>
            </w:r>
          </w:p>
        </w:tc>
        <w:tc>
          <w:tcPr>
            <w:tcW w:type="dxa" w:w="3600"/>
            <w:shd w:val="clear" w:color="auto" w:fill="EFF6FF"/>
          </w:tcPr>
          <w:p>
            <w:r>
              <w:rPr>
                <w:rFonts w:ascii="Calibri" w:hAnsi="Calibri"/>
                <w:b w:val="0"/>
                <w:i w:val="0"/>
                <w:sz w:val="19"/>
              </w:rPr>
              <w:t>$9–14M</w:t>
            </w:r>
          </w:p>
        </w:tc>
        <w:tc>
          <w:tcPr>
            <w:tcW w:type="dxa" w:w="2880"/>
            <w:shd w:val="clear" w:color="auto" w:fill="EFF6FF"/>
          </w:tcPr>
          <w:p>
            <w:r>
              <w:rPr>
                <w:rFonts w:ascii="Calibri" w:hAnsi="Calibri"/>
                <w:b w:val="0"/>
                <w:i w:val="0"/>
                <w:sz w:val="19"/>
              </w:rPr>
              <w:t>$900K</w:t>
            </w:r>
          </w:p>
        </w:tc>
        <w:tc>
          <w:tcPr>
            <w:tcW w:type="dxa" w:w="2880"/>
            <w:shd w:val="clear" w:color="auto" w:fill="EFF6FF"/>
          </w:tcPr>
          <w:p>
            <w:r>
              <w:rPr>
                <w:rFonts w:ascii="Calibri" w:hAnsi="Calibri"/>
                <w:b w:val="0"/>
                <w:i w:val="0"/>
                <w:sz w:val="19"/>
              </w:rPr>
              <w:t>$8.1–13.1M</w:t>
            </w:r>
          </w:p>
        </w:tc>
        <w:tc>
          <w:tcPr>
            <w:tcW w:type="dxa" w:w="2160"/>
            <w:shd w:val="clear" w:color="auto" w:fill="EFF6FF"/>
          </w:tcPr>
          <w:p>
            <w:r>
              <w:rPr>
                <w:rFonts w:ascii="Calibri" w:hAnsi="Calibri"/>
                <w:b w:val="0"/>
                <w:i w:val="0"/>
                <w:sz w:val="19"/>
              </w:rPr>
              <w:t>7–10×</w:t>
            </w:r>
          </w:p>
        </w:tc>
      </w:tr>
      <w:tr>
        <w:tc>
          <w:tcPr>
            <w:tcW w:type="dxa" w:w="2160"/>
          </w:tcPr>
          <w:p>
            <w:r>
              <w:rPr>
                <w:rFonts w:ascii="Calibri" w:hAnsi="Calibri"/>
                <w:b w:val="0"/>
                <w:i w:val="0"/>
                <w:sz w:val="19"/>
              </w:rPr>
              <w:t>20+ (Enterprise)</w:t>
            </w:r>
          </w:p>
        </w:tc>
        <w:tc>
          <w:tcPr>
            <w:tcW w:type="dxa" w:w="3600"/>
          </w:tcPr>
          <w:p>
            <w:r>
              <w:rPr>
                <w:rFonts w:ascii="Calibri" w:hAnsi="Calibri"/>
                <w:b w:val="0"/>
                <w:i w:val="0"/>
                <w:sz w:val="19"/>
              </w:rPr>
              <w:t>$18–30M</w:t>
            </w:r>
          </w:p>
        </w:tc>
        <w:tc>
          <w:tcPr>
            <w:tcW w:type="dxa" w:w="2880"/>
          </w:tcPr>
          <w:p>
            <w:r>
              <w:rPr>
                <w:rFonts w:ascii="Calibri" w:hAnsi="Calibri"/>
                <w:b w:val="0"/>
                <w:i w:val="0"/>
                <w:sz w:val="19"/>
              </w:rPr>
              <w:t>$1.8M</w:t>
            </w:r>
          </w:p>
        </w:tc>
        <w:tc>
          <w:tcPr>
            <w:tcW w:type="dxa" w:w="2880"/>
          </w:tcPr>
          <w:p>
            <w:r>
              <w:rPr>
                <w:rFonts w:ascii="Calibri" w:hAnsi="Calibri"/>
                <w:b w:val="0"/>
                <w:i w:val="0"/>
                <w:sz w:val="19"/>
              </w:rPr>
              <w:t>$16.2–28.2M</w:t>
            </w:r>
          </w:p>
        </w:tc>
        <w:tc>
          <w:tcPr>
            <w:tcW w:type="dxa" w:w="2160"/>
          </w:tcPr>
          <w:p>
            <w:r>
              <w:rPr>
                <w:rFonts w:ascii="Calibri" w:hAnsi="Calibri"/>
                <w:b w:val="0"/>
                <w:i w:val="0"/>
                <w:sz w:val="19"/>
              </w:rPr>
              <w:t>8–12×</w:t>
            </w:r>
          </w:p>
        </w:tc>
      </w:tr>
    </w:tbl>
    <w:p/>
    <w:p>
      <w:pPr>
        <w:spacing w:before="120" w:after="120"/>
        <w:ind w:left="480" w:right="480"/>
        <w:shd w:val="clear" w:color="auto" w:fill="DBEAFE"/>
      </w:pPr>
      <w:r>
        <w:rPr>
          <w:rFonts w:ascii="Calibri" w:hAnsi="Calibri"/>
          <w:b w:val="0"/>
          <w:i/>
          <w:color w:val="0F2D5E"/>
          <w:sz w:val="21"/>
        </w:rPr>
        <w:t>Note: Savings estimates based on sector benchmarks and US Bank pilot data. Actual savings vary by organisation size, current maturity, and implementation speed. All figures are expected-case; conservative scenario is approximately 65% of expected.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