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b/>
          <w:i w:val="0"/>
          <w:color w:val="2563EB"/>
          <w:sz w:val="26"/>
        </w:rPr>
        <w:t>AI-Powered PDLC Transformation</w:t>
      </w:r>
    </w:p>
    <w:p>
      <w:r>
        <w:rPr>
          <w:rFonts w:ascii="Calibri" w:hAnsi="Calibri"/>
          <w:b w:val="0"/>
          <w:i w:val="0"/>
          <w:color w:val="0F2D5E"/>
          <w:sz w:val="22"/>
        </w:rPr>
        <w:t>GTM Pack — Set 2: Pilot Engagement Pack</w:t>
      </w:r>
    </w:p>
    <w:p/>
    <w:p>
      <w:r>
        <w:rPr>
          <w:rFonts w:ascii="Calibri" w:hAnsi="Calibri"/>
          <w:b/>
          <w:i w:val="0"/>
          <w:color w:val="0F2D5E"/>
          <w:sz w:val="44"/>
        </w:rPr>
        <w:t>Project Charter</w:t>
      </w:r>
    </w:p>
    <w:p>
      <w:r>
        <w:rPr>
          <w:rFonts w:ascii="Calibri" w:hAnsi="Calibri"/>
          <w:b w:val="0"/>
          <w:i/>
          <w:color w:val="2563EB"/>
          <w:sz w:val="24"/>
        </w:rPr>
        <w:t>AI-Powered PDLC Transformation — Phase 1: Diagnose</w:t>
      </w:r>
    </w:p>
    <w:p/>
    <w:p/>
    <w:p>
      <w:pPr>
        <w:spacing w:before="120" w:after="120"/>
        <w:pBdr>
          <w:bottom w:val="single" w:sz="6" w:space="1" w:color="2563EB"/>
        </w:pBdr>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F2D5E"/>
          </w:tcPr>
          <w:p>
            <w:pPr>
              <w:jc w:val="center"/>
            </w:pPr>
            <w:r>
              <w:rPr>
                <w:rFonts w:ascii="Calibri" w:hAnsi="Calibri"/>
                <w:b/>
                <w:i w:val="0"/>
                <w:color w:val="FFFFFF"/>
                <w:sz w:val="19"/>
              </w:rPr>
              <w:t>Document</w:t>
            </w:r>
          </w:p>
        </w:tc>
        <w:tc>
          <w:tcPr>
            <w:tcW w:type="dxa" w:w="2351"/>
            <w:shd w:val="clear" w:color="auto" w:fill="0F2D5E"/>
          </w:tcPr>
          <w:p>
            <w:pPr>
              <w:jc w:val="center"/>
            </w:pPr>
            <w:r>
              <w:rPr>
                <w:rFonts w:ascii="Calibri" w:hAnsi="Calibri"/>
                <w:b/>
                <w:i w:val="0"/>
                <w:color w:val="FFFFFF"/>
                <w:sz w:val="19"/>
              </w:rPr>
              <w:t>Version</w:t>
            </w:r>
          </w:p>
        </w:tc>
        <w:tc>
          <w:tcPr>
            <w:tcW w:type="dxa" w:w="2351"/>
            <w:shd w:val="clear" w:color="auto" w:fill="0F2D5E"/>
          </w:tcPr>
          <w:p>
            <w:pPr>
              <w:jc w:val="center"/>
            </w:pPr>
            <w:r>
              <w:rPr>
                <w:rFonts w:ascii="Calibri" w:hAnsi="Calibri"/>
                <w:b/>
                <w:i w:val="0"/>
                <w:color w:val="FFFFFF"/>
                <w:sz w:val="19"/>
              </w:rPr>
              <w:t>Date</w:t>
            </w:r>
          </w:p>
        </w:tc>
        <w:tc>
          <w:tcPr>
            <w:tcW w:type="dxa" w:w="2351"/>
            <w:shd w:val="clear" w:color="auto" w:fill="0F2D5E"/>
          </w:tcPr>
          <w:p>
            <w:pPr>
              <w:jc w:val="center"/>
            </w:pPr>
            <w:r>
              <w:rPr>
                <w:rFonts w:ascii="Calibri" w:hAnsi="Calibri"/>
                <w:b/>
                <w:i w:val="0"/>
                <w:color w:val="FFFFFF"/>
                <w:sz w:val="19"/>
              </w:rPr>
              <w:t>Classification</w:t>
            </w:r>
          </w:p>
        </w:tc>
      </w:tr>
      <w:tr>
        <w:tc>
          <w:tcPr>
            <w:tcW w:type="dxa" w:w="2351"/>
            <w:shd w:val="clear" w:color="auto" w:fill="EFF6FF"/>
          </w:tcPr>
          <w:p>
            <w:r>
              <w:rPr>
                <w:rFonts w:ascii="Calibri" w:hAnsi="Calibri"/>
                <w:b w:val="0"/>
                <w:i w:val="0"/>
                <w:sz w:val="19"/>
              </w:rPr>
              <w:t>DOC-SET2-12</w:t>
            </w:r>
          </w:p>
        </w:tc>
        <w:tc>
          <w:tcPr>
            <w:tcW w:type="dxa" w:w="2351"/>
            <w:shd w:val="clear" w:color="auto" w:fill="EFF6FF"/>
          </w:tcPr>
          <w:p>
            <w:r>
              <w:rPr>
                <w:rFonts w:ascii="Calibri" w:hAnsi="Calibri"/>
                <w:b w:val="0"/>
                <w:i w:val="0"/>
                <w:sz w:val="19"/>
              </w:rPr>
              <w:t>v2.0</w:t>
            </w:r>
          </w:p>
        </w:tc>
        <w:tc>
          <w:tcPr>
            <w:tcW w:type="dxa" w:w="2351"/>
            <w:shd w:val="clear" w:color="auto" w:fill="EFF6FF"/>
          </w:tcPr>
          <w:p>
            <w:r>
              <w:rPr>
                <w:rFonts w:ascii="Calibri" w:hAnsi="Calibri"/>
                <w:b w:val="0"/>
                <w:i w:val="0"/>
                <w:sz w:val="19"/>
              </w:rPr>
              <w:t>March 2026</w:t>
            </w:r>
          </w:p>
        </w:tc>
        <w:tc>
          <w:tcPr>
            <w:tcW w:type="dxa" w:w="2351"/>
            <w:shd w:val="clear" w:color="auto" w:fill="EFF6FF"/>
          </w:tcPr>
          <w:p>
            <w:r>
              <w:rPr>
                <w:rFonts w:ascii="Calibri" w:hAnsi="Calibri"/>
                <w:b w:val="0"/>
                <w:i w:val="0"/>
                <w:sz w:val="19"/>
              </w:rPr>
              <w:t>Commercial Confidential</w:t>
            </w:r>
          </w:p>
        </w:tc>
      </w:tr>
    </w:tbl>
    <w:p/>
    <w:p>
      <w:r>
        <w:br w:type="page"/>
      </w:r>
    </w:p>
    <w:p>
      <w:pPr>
        <w:spacing w:before="280" w:after="80"/>
      </w:pPr>
      <w:r>
        <w:rPr>
          <w:rFonts w:ascii="Calibri" w:hAnsi="Calibri"/>
          <w:b/>
          <w:i w:val="0"/>
          <w:color w:val="0F2D5E"/>
          <w:sz w:val="32"/>
        </w:rPr>
        <w:t>Project Overview</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0F2D5E"/>
          </w:tcPr>
          <w:p>
            <w:pPr>
              <w:jc w:val="center"/>
            </w:pPr>
            <w:r>
              <w:rPr>
                <w:rFonts w:ascii="Calibri" w:hAnsi="Calibri"/>
                <w:b/>
                <w:i w:val="0"/>
                <w:color w:val="FFFFFF"/>
                <w:sz w:val="19"/>
              </w:rPr>
              <w:t>Field</w:t>
            </w:r>
          </w:p>
        </w:tc>
        <w:tc>
          <w:tcPr>
            <w:tcW w:type="dxa" w:w="10080"/>
            <w:shd w:val="clear" w:color="auto" w:fill="0F2D5E"/>
          </w:tcPr>
          <w:p>
            <w:pPr>
              <w:jc w:val="center"/>
            </w:pPr>
            <w:r>
              <w:rPr>
                <w:rFonts w:ascii="Calibri" w:hAnsi="Calibri"/>
                <w:b/>
                <w:i w:val="0"/>
                <w:color w:val="FFFFFF"/>
                <w:sz w:val="19"/>
              </w:rPr>
              <w:t>Value</w:t>
            </w:r>
          </w:p>
        </w:tc>
      </w:tr>
      <w:tr>
        <w:tc>
          <w:tcPr>
            <w:tcW w:type="dxa" w:w="3600"/>
            <w:shd w:val="clear" w:color="auto" w:fill="EFF6FF"/>
          </w:tcPr>
          <w:p>
            <w:r>
              <w:rPr>
                <w:rFonts w:ascii="Calibri" w:hAnsi="Calibri"/>
                <w:b w:val="0"/>
                <w:i w:val="0"/>
                <w:sz w:val="19"/>
              </w:rPr>
              <w:t>Project Name</w:t>
            </w:r>
          </w:p>
        </w:tc>
        <w:tc>
          <w:tcPr>
            <w:tcW w:type="dxa" w:w="10080"/>
            <w:shd w:val="clear" w:color="auto" w:fill="EFF6FF"/>
          </w:tcPr>
          <w:p>
            <w:r>
              <w:rPr>
                <w:rFonts w:ascii="Calibri" w:hAnsi="Calibri"/>
                <w:b w:val="0"/>
                <w:i w:val="0"/>
                <w:sz w:val="19"/>
              </w:rPr>
              <w:t>AI-Powered PDLC Transformation — Phase 1: Diagnose</w:t>
            </w:r>
          </w:p>
        </w:tc>
      </w:tr>
      <w:tr>
        <w:tc>
          <w:tcPr>
            <w:tcW w:type="dxa" w:w="3600"/>
          </w:tcPr>
          <w:p>
            <w:r>
              <w:rPr>
                <w:rFonts w:ascii="Calibri" w:hAnsi="Calibri"/>
                <w:b w:val="0"/>
                <w:i w:val="0"/>
                <w:sz w:val="19"/>
              </w:rPr>
              <w:t>Offering</w:t>
            </w:r>
          </w:p>
        </w:tc>
        <w:tc>
          <w:tcPr>
            <w:tcW w:type="dxa" w:w="10080"/>
          </w:tcPr>
          <w:p>
            <w:r>
              <w:rPr>
                <w:rFonts w:ascii="Calibri" w:hAnsi="Calibri"/>
                <w:b w:val="0"/>
                <w:i w:val="0"/>
                <w:sz w:val="19"/>
              </w:rPr>
              <w:t>AI-Powered PDLC Transformation (3-phase consulting engagement)</w:t>
            </w:r>
          </w:p>
        </w:tc>
      </w:tr>
      <w:tr>
        <w:tc>
          <w:tcPr>
            <w:tcW w:type="dxa" w:w="3600"/>
            <w:shd w:val="clear" w:color="auto" w:fill="EFF6FF"/>
          </w:tcPr>
          <w:p>
            <w:r>
              <w:rPr>
                <w:rFonts w:ascii="Calibri" w:hAnsi="Calibri"/>
                <w:b w:val="0"/>
                <w:i w:val="0"/>
                <w:sz w:val="19"/>
              </w:rPr>
              <w:t>Phase Scope</w:t>
            </w:r>
          </w:p>
        </w:tc>
        <w:tc>
          <w:tcPr>
            <w:tcW w:type="dxa" w:w="10080"/>
            <w:shd w:val="clear" w:color="auto" w:fill="EFF6FF"/>
          </w:tcPr>
          <w:p>
            <w:r>
              <w:rPr>
                <w:rFonts w:ascii="Calibri" w:hAnsi="Calibri"/>
                <w:b w:val="0"/>
                <w:i w:val="0"/>
                <w:sz w:val="19"/>
              </w:rPr>
              <w:t>Phase 1 only — Diagnose. Phases 2 (Design) and 3 (Deliver) are follow-on.</w:t>
            </w:r>
          </w:p>
        </w:tc>
      </w:tr>
      <w:tr>
        <w:tc>
          <w:tcPr>
            <w:tcW w:type="dxa" w:w="3600"/>
          </w:tcPr>
          <w:p>
            <w:r>
              <w:rPr>
                <w:rFonts w:ascii="Calibri" w:hAnsi="Calibri"/>
                <w:b w:val="0"/>
                <w:i w:val="0"/>
                <w:sz w:val="19"/>
              </w:rPr>
              <w:t>Client Organisation</w:t>
            </w:r>
          </w:p>
        </w:tc>
        <w:tc>
          <w:tcPr>
            <w:tcW w:type="dxa" w:w="10080"/>
          </w:tcPr>
          <w:p>
            <w:r>
              <w:rPr>
                <w:rFonts w:ascii="Calibri" w:hAnsi="Calibri"/>
                <w:b w:val="0"/>
                <w:i w:val="0"/>
                <w:sz w:val="19"/>
              </w:rPr>
              <w:t>[CLIENT NAME]</w:t>
            </w:r>
          </w:p>
        </w:tc>
      </w:tr>
      <w:tr>
        <w:tc>
          <w:tcPr>
            <w:tcW w:type="dxa" w:w="3600"/>
            <w:shd w:val="clear" w:color="auto" w:fill="EFF6FF"/>
          </w:tcPr>
          <w:p>
            <w:r>
              <w:rPr>
                <w:rFonts w:ascii="Calibri" w:hAnsi="Calibri"/>
                <w:b w:val="0"/>
                <w:i w:val="0"/>
                <w:sz w:val="19"/>
              </w:rPr>
              <w:t>Project Sponsor</w:t>
            </w:r>
          </w:p>
        </w:tc>
        <w:tc>
          <w:tcPr>
            <w:tcW w:type="dxa" w:w="10080"/>
            <w:shd w:val="clear" w:color="auto" w:fill="EFF6FF"/>
          </w:tcPr>
          <w:p>
            <w:r>
              <w:rPr>
                <w:rFonts w:ascii="Calibri" w:hAnsi="Calibri"/>
                <w:b w:val="0"/>
                <w:i w:val="0"/>
                <w:sz w:val="19"/>
              </w:rPr>
              <w:t>[SPONSOR NAME], [TITLE]</w:t>
            </w:r>
          </w:p>
        </w:tc>
      </w:tr>
      <w:tr>
        <w:tc>
          <w:tcPr>
            <w:tcW w:type="dxa" w:w="3600"/>
          </w:tcPr>
          <w:p>
            <w:r>
              <w:rPr>
                <w:rFonts w:ascii="Calibri" w:hAnsi="Calibri"/>
                <w:b w:val="0"/>
                <w:i w:val="0"/>
                <w:sz w:val="19"/>
              </w:rPr>
              <w:t>Pilot Lead (our team)</w:t>
            </w:r>
          </w:p>
        </w:tc>
        <w:tc>
          <w:tcPr>
            <w:tcW w:type="dxa" w:w="10080"/>
          </w:tcPr>
          <w:p>
            <w:r>
              <w:rPr>
                <w:rFonts w:ascii="Calibri" w:hAnsi="Calibri"/>
                <w:b w:val="0"/>
                <w:i w:val="0"/>
                <w:sz w:val="19"/>
              </w:rPr>
              <w:t>[PILOT LEAD NAME]</w:t>
            </w:r>
          </w:p>
        </w:tc>
      </w:tr>
      <w:tr>
        <w:tc>
          <w:tcPr>
            <w:tcW w:type="dxa" w:w="3600"/>
            <w:shd w:val="clear" w:color="auto" w:fill="EFF6FF"/>
          </w:tcPr>
          <w:p>
            <w:r>
              <w:rPr>
                <w:rFonts w:ascii="Calibri" w:hAnsi="Calibri"/>
                <w:b w:val="0"/>
                <w:i w:val="0"/>
                <w:sz w:val="19"/>
              </w:rPr>
              <w:t>Client Project Lead</w:t>
            </w:r>
          </w:p>
        </w:tc>
        <w:tc>
          <w:tcPr>
            <w:tcW w:type="dxa" w:w="10080"/>
            <w:shd w:val="clear" w:color="auto" w:fill="EFF6FF"/>
          </w:tcPr>
          <w:p>
            <w:r>
              <w:rPr>
                <w:rFonts w:ascii="Calibri" w:hAnsi="Calibri"/>
                <w:b w:val="0"/>
                <w:i w:val="0"/>
                <w:sz w:val="19"/>
              </w:rPr>
              <w:t>[CLIENT LEAD NAME], [TITLE]</w:t>
            </w:r>
          </w:p>
        </w:tc>
      </w:tr>
      <w:tr>
        <w:tc>
          <w:tcPr>
            <w:tcW w:type="dxa" w:w="3600"/>
          </w:tcPr>
          <w:p>
            <w:r>
              <w:rPr>
                <w:rFonts w:ascii="Calibri" w:hAnsi="Calibri"/>
                <w:b w:val="0"/>
                <w:i w:val="0"/>
                <w:sz w:val="19"/>
              </w:rPr>
              <w:t>Duration</w:t>
            </w:r>
          </w:p>
        </w:tc>
        <w:tc>
          <w:tcPr>
            <w:tcW w:type="dxa" w:w="10080"/>
          </w:tcPr>
          <w:p>
            <w:r>
              <w:rPr>
                <w:rFonts w:ascii="Calibri" w:hAnsi="Calibri"/>
                <w:b w:val="0"/>
                <w:i w:val="0"/>
                <w:sz w:val="19"/>
              </w:rPr>
              <w:t>8 weeks from kick-off</w:t>
            </w:r>
          </w:p>
        </w:tc>
      </w:tr>
      <w:tr>
        <w:tc>
          <w:tcPr>
            <w:tcW w:type="dxa" w:w="3600"/>
            <w:shd w:val="clear" w:color="auto" w:fill="EFF6FF"/>
          </w:tcPr>
          <w:p>
            <w:r>
              <w:rPr>
                <w:rFonts w:ascii="Calibri" w:hAnsi="Calibri"/>
                <w:b w:val="0"/>
                <w:i w:val="0"/>
                <w:sz w:val="19"/>
              </w:rPr>
              <w:t>Investment</w:t>
            </w:r>
          </w:p>
        </w:tc>
        <w:tc>
          <w:tcPr>
            <w:tcW w:type="dxa" w:w="10080"/>
            <w:shd w:val="clear" w:color="auto" w:fill="EFF6FF"/>
          </w:tcPr>
          <w:p>
            <w:r>
              <w:rPr>
                <w:rFonts w:ascii="Calibri" w:hAnsi="Calibri"/>
                <w:b w:val="0"/>
                <w:i w:val="0"/>
                <w:sz w:val="19"/>
              </w:rPr>
              <w:t>$150,000 (fixed fee)</w:t>
            </w:r>
          </w:p>
        </w:tc>
      </w:tr>
      <w:tr>
        <w:tc>
          <w:tcPr>
            <w:tcW w:type="dxa" w:w="3600"/>
          </w:tcPr>
          <w:p>
            <w:r>
              <w:rPr>
                <w:rFonts w:ascii="Calibri" w:hAnsi="Calibri"/>
                <w:b w:val="0"/>
                <w:i w:val="0"/>
                <w:sz w:val="19"/>
              </w:rPr>
              <w:t>Classification</w:t>
            </w:r>
          </w:p>
        </w:tc>
        <w:tc>
          <w:tcPr>
            <w:tcW w:type="dxa" w:w="10080"/>
          </w:tcPr>
          <w:p>
            <w:r>
              <w:rPr>
                <w:rFonts w:ascii="Calibri" w:hAnsi="Calibri"/>
                <w:b w:val="0"/>
                <w:i w:val="0"/>
                <w:sz w:val="19"/>
              </w:rPr>
              <w:t>Commercial Confidential</w:t>
            </w:r>
          </w:p>
        </w:tc>
      </w:tr>
    </w:tbl>
    <w:p/>
    <w:p>
      <w:pPr>
        <w:spacing w:before="280" w:after="80"/>
      </w:pPr>
      <w:r>
        <w:rPr>
          <w:rFonts w:ascii="Calibri" w:hAnsi="Calibri"/>
          <w:b/>
          <w:i w:val="0"/>
          <w:color w:val="0F2D5E"/>
          <w:sz w:val="32"/>
        </w:rPr>
        <w:t>Phase 1 Objectives</w:t>
      </w:r>
    </w:p>
    <w:p>
      <w:pPr>
        <w:pStyle w:val="ListNumber"/>
        <w:spacing w:after="40"/>
      </w:pPr>
      <w:r>
        <w:rPr>
          <w:rFonts w:ascii="Calibri" w:hAnsi="Calibri"/>
          <w:b w:val="0"/>
          <w:i w:val="0"/>
          <w:sz w:val="21"/>
        </w:rPr>
        <w:t>Quantify current state software delivery lead time and flow efficiency using the client's ALM data</w:t>
      </w:r>
    </w:p>
    <w:p>
      <w:pPr>
        <w:pStyle w:val="ListNumber"/>
        <w:spacing w:after="40"/>
      </w:pPr>
      <w:r>
        <w:rPr>
          <w:rFonts w:ascii="Calibri" w:hAnsi="Calibri"/>
          <w:b w:val="0"/>
          <w:i w:val="0"/>
          <w:sz w:val="21"/>
        </w:rPr>
        <w:t>Identify the top 5 value stream bottlenecks with speed, productivity, and quality impact scores</w:t>
      </w:r>
    </w:p>
    <w:p>
      <w:pPr>
        <w:pStyle w:val="ListNumber"/>
        <w:spacing w:after="40"/>
      </w:pPr>
      <w:r>
        <w:rPr>
          <w:rFonts w:ascii="Calibri" w:hAnsi="Calibri"/>
          <w:b w:val="0"/>
          <w:i w:val="0"/>
          <w:sz w:val="21"/>
        </w:rPr>
        <w:t>Benchmark the client's PDLC performance against 12 sector peers</w:t>
      </w:r>
    </w:p>
    <w:p>
      <w:pPr>
        <w:pStyle w:val="ListNumber"/>
        <w:spacing w:after="40"/>
      </w:pPr>
      <w:r>
        <w:rPr>
          <w:rFonts w:ascii="Calibri" w:hAnsi="Calibri"/>
          <w:b w:val="0"/>
          <w:i w:val="0"/>
          <w:sz w:val="21"/>
        </w:rPr>
        <w:t>Conduct a 73-question DORA maturity assessment across 4 dimensions</w:t>
      </w:r>
    </w:p>
    <w:p>
      <w:pPr>
        <w:pStyle w:val="ListNumber"/>
        <w:spacing w:after="40"/>
      </w:pPr>
      <w:r>
        <w:rPr>
          <w:rFonts w:ascii="Calibri" w:hAnsi="Calibri"/>
          <w:b w:val="0"/>
          <w:i w:val="0"/>
          <w:sz w:val="21"/>
        </w:rPr>
        <w:t>Model all three AI transformation options (A/B/C) against the client's actual data</w:t>
      </w:r>
    </w:p>
    <w:p>
      <w:pPr>
        <w:pStyle w:val="ListNumber"/>
        <w:spacing w:after="40"/>
      </w:pPr>
      <w:r>
        <w:rPr>
          <w:rFonts w:ascii="Calibri" w:hAnsi="Calibri"/>
          <w:b w:val="0"/>
          <w:i w:val="0"/>
          <w:sz w:val="21"/>
        </w:rPr>
        <w:t>Produce a board-ready business case for each option (ROI, payback, NPV)</w:t>
      </w:r>
    </w:p>
    <w:p>
      <w:pPr>
        <w:pStyle w:val="ListNumber"/>
        <w:spacing w:after="40"/>
      </w:pPr>
      <w:r>
        <w:rPr>
          <w:rFonts w:ascii="Calibri" w:hAnsi="Calibri"/>
          <w:b w:val="0"/>
          <w:i w:val="0"/>
          <w:sz w:val="21"/>
        </w:rPr>
        <w:t>Recommend the optimal option based on client's risk appetite and investment capacity</w:t>
      </w:r>
    </w:p>
    <w:p>
      <w:pPr>
        <w:pStyle w:val="ListNumber"/>
        <w:spacing w:after="40"/>
      </w:pPr>
      <w:r>
        <w:rPr>
          <w:rFonts w:ascii="Calibri" w:hAnsi="Calibri"/>
          <w:b w:val="0"/>
          <w:i w:val="0"/>
          <w:sz w:val="21"/>
        </w:rPr>
        <w:t>Deliver a playbook outline for the recommended option</w:t>
      </w:r>
    </w:p>
    <w:p>
      <w:pPr>
        <w:pStyle w:val="ListNumber"/>
        <w:spacing w:after="40"/>
      </w:pPr>
      <w:r>
        <w:rPr>
          <w:rFonts w:ascii="Calibri" w:hAnsi="Calibri"/>
          <w:b w:val="0"/>
          <w:i w:val="0"/>
          <w:sz w:val="21"/>
        </w:rPr>
        <w:t>Transfer platform capability to the client team</w:t>
      </w:r>
    </w:p>
    <w:p>
      <w:pPr>
        <w:spacing w:before="120" w:after="120"/>
        <w:ind w:left="480" w:right="480"/>
        <w:shd w:val="clear" w:color="auto" w:fill="DBEAFE"/>
      </w:pPr>
      <w:r>
        <w:rPr>
          <w:rFonts w:ascii="Calibri" w:hAnsi="Calibri"/>
          <w:b w:val="0"/>
          <w:i/>
          <w:color w:val="0F2D5E"/>
          <w:sz w:val="21"/>
        </w:rPr>
        <w:t>Phase 1 Gate: At the end of Week 8, the client will have enough evidence to make an informed decision about which AI transformation option (A, B, or C) to proceed with. This is the Phase 1 exit gate.</w:t>
      </w:r>
    </w:p>
    <w:p>
      <w:pPr>
        <w:spacing w:before="280" w:after="80"/>
      </w:pPr>
      <w:r>
        <w:rPr>
          <w:rFonts w:ascii="Calibri" w:hAnsi="Calibri"/>
          <w:b/>
          <w:i w:val="0"/>
          <w:color w:val="0F2D5E"/>
          <w:sz w:val="32"/>
        </w:rPr>
        <w:t>Scope</w:t>
      </w:r>
    </w:p>
    <w:p>
      <w:pPr>
        <w:spacing w:before="200" w:after="60"/>
      </w:pPr>
      <w:r>
        <w:rPr>
          <w:rFonts w:ascii="Calibri" w:hAnsi="Calibri"/>
          <w:b/>
          <w:i w:val="0"/>
          <w:color w:val="2563EB"/>
          <w:sz w:val="26"/>
        </w:rPr>
        <w:t>In Scope — Phase 1</w:t>
      </w:r>
    </w:p>
    <w:p>
      <w:pPr>
        <w:pStyle w:val="ListBullet"/>
        <w:spacing w:after="40"/>
      </w:pPr>
      <w:r>
        <w:rPr>
          <w:rFonts w:ascii="Calibri" w:hAnsi="Calibri"/>
          <w:b w:val="0"/>
          <w:i w:val="0"/>
          <w:sz w:val="21"/>
        </w:rPr>
        <w:t>One ALM data source (Jira or Azure DevOps), one product group</w:t>
      </w:r>
    </w:p>
    <w:p>
      <w:pPr>
        <w:pStyle w:val="ListBullet"/>
        <w:spacing w:after="40"/>
      </w:pPr>
      <w:r>
        <w:rPr>
          <w:rFonts w:ascii="Calibri" w:hAnsi="Calibri"/>
          <w:b w:val="0"/>
          <w:i w:val="0"/>
          <w:sz w:val="21"/>
        </w:rPr>
        <w:t>AI-generated Current State VSM: 7 PDLC phases, all metrics</w:t>
      </w:r>
    </w:p>
    <w:p>
      <w:pPr>
        <w:pStyle w:val="ListBullet"/>
        <w:spacing w:after="40"/>
      </w:pPr>
      <w:r>
        <w:rPr>
          <w:rFonts w:ascii="Calibri" w:hAnsi="Calibri"/>
          <w:b w:val="0"/>
          <w:i w:val="0"/>
          <w:sz w:val="21"/>
        </w:rPr>
        <w:t>DORA assessment: 73 questions across 4 dimensions, 4 data sources</w:t>
      </w:r>
    </w:p>
    <w:p>
      <w:pPr>
        <w:pStyle w:val="ListBullet"/>
        <w:spacing w:after="40"/>
      </w:pPr>
      <w:r>
        <w:rPr>
          <w:rFonts w:ascii="Calibri" w:hAnsi="Calibri"/>
          <w:b w:val="0"/>
          <w:i w:val="0"/>
          <w:sz w:val="21"/>
        </w:rPr>
        <w:t>Top 5 bottleneck analysis with annual waste cost and peer benchmarks</w:t>
      </w:r>
    </w:p>
    <w:p>
      <w:pPr>
        <w:pStyle w:val="ListBullet"/>
        <w:spacing w:after="40"/>
      </w:pPr>
      <w:r>
        <w:rPr>
          <w:rFonts w:ascii="Calibri" w:hAnsi="Calibri"/>
          <w:b w:val="0"/>
          <w:i w:val="0"/>
          <w:sz w:val="21"/>
        </w:rPr>
        <w:t>Three-option business case: Option A (AI-Augmented), B (Agents+Gates), C (Fully Agentic)</w:t>
      </w:r>
    </w:p>
    <w:p>
      <w:pPr>
        <w:pStyle w:val="ListBullet"/>
        <w:spacing w:after="40"/>
      </w:pPr>
      <w:r>
        <w:rPr>
          <w:rFonts w:ascii="Calibri" w:hAnsi="Calibri"/>
          <w:b w:val="0"/>
          <w:i w:val="0"/>
          <w:sz w:val="21"/>
        </w:rPr>
        <w:t>Recommendation with rationale and risk assessment</w:t>
      </w:r>
    </w:p>
    <w:p>
      <w:pPr>
        <w:pStyle w:val="ListBullet"/>
        <w:spacing w:after="40"/>
      </w:pPr>
      <w:r>
        <w:rPr>
          <w:rFonts w:ascii="Calibri" w:hAnsi="Calibri"/>
          <w:b w:val="0"/>
          <w:i w:val="0"/>
          <w:sz w:val="21"/>
        </w:rPr>
        <w:t>Playbook outline for recommended option (week-by-week, high level)</w:t>
      </w:r>
    </w:p>
    <w:p>
      <w:pPr>
        <w:pStyle w:val="ListBullet"/>
        <w:spacing w:after="40"/>
      </w:pPr>
      <w:r>
        <w:rPr>
          <w:rFonts w:ascii="Calibri" w:hAnsi="Calibri"/>
          <w:b w:val="0"/>
          <w:i w:val="0"/>
          <w:sz w:val="21"/>
        </w:rPr>
        <w:t>Executive readout deck (15 slides, board-ready)</w:t>
      </w:r>
    </w:p>
    <w:p>
      <w:pPr>
        <w:pStyle w:val="ListBullet"/>
        <w:spacing w:after="40"/>
      </w:pPr>
      <w:r>
        <w:rPr>
          <w:rFonts w:ascii="Calibri" w:hAnsi="Calibri"/>
          <w:b w:val="0"/>
          <w:i w:val="0"/>
          <w:sz w:val="21"/>
        </w:rPr>
        <w:t>Action plan (25+ items in platform)</w:t>
      </w:r>
    </w:p>
    <w:p>
      <w:pPr>
        <w:pStyle w:val="ListBullet"/>
        <w:spacing w:after="40"/>
      </w:pPr>
      <w:r>
        <w:rPr>
          <w:rFonts w:ascii="Calibri" w:hAnsi="Calibri"/>
          <w:b w:val="0"/>
          <w:i w:val="0"/>
          <w:sz w:val="21"/>
        </w:rPr>
        <w:t>Knowledge transfer (60 minutes) and 30-day post-engagement support</w:t>
      </w:r>
    </w:p>
    <w:p>
      <w:pPr>
        <w:spacing w:before="200" w:after="60"/>
      </w:pPr>
      <w:r>
        <w:rPr>
          <w:rFonts w:ascii="Calibri" w:hAnsi="Calibri"/>
          <w:b/>
          <w:i w:val="0"/>
          <w:color w:val="2563EB"/>
          <w:sz w:val="26"/>
        </w:rPr>
        <w:t>Out of Scope — Phase 1 (Covered in Phase 3)</w:t>
      </w:r>
    </w:p>
    <w:p>
      <w:pPr>
        <w:pStyle w:val="ListBullet"/>
        <w:spacing w:after="40"/>
      </w:pPr>
      <w:r>
        <w:rPr>
          <w:rFonts w:ascii="Calibri" w:hAnsi="Calibri"/>
          <w:b w:val="0"/>
          <w:i w:val="0"/>
          <w:sz w:val="21"/>
        </w:rPr>
        <w:t>Implementation of any AI agent or improvement initiative</w:t>
      </w:r>
    </w:p>
    <w:p>
      <w:pPr>
        <w:pStyle w:val="ListBullet"/>
        <w:spacing w:after="40"/>
      </w:pPr>
      <w:r>
        <w:rPr>
          <w:rFonts w:ascii="Calibri" w:hAnsi="Calibri"/>
          <w:b w:val="0"/>
          <w:i w:val="0"/>
          <w:sz w:val="21"/>
        </w:rPr>
        <w:t>Detailed week-by-week playbook (produced in Phase 3 kick-off)</w:t>
      </w:r>
    </w:p>
    <w:p>
      <w:pPr>
        <w:pStyle w:val="ListBullet"/>
        <w:spacing w:after="40"/>
      </w:pPr>
      <w:r>
        <w:rPr>
          <w:rFonts w:ascii="Calibri" w:hAnsi="Calibri"/>
          <w:b w:val="0"/>
          <w:i w:val="0"/>
          <w:sz w:val="21"/>
        </w:rPr>
        <w:t>Change management programme (Phase 3)</w:t>
      </w:r>
    </w:p>
    <w:p>
      <w:pPr>
        <w:pStyle w:val="ListBullet"/>
        <w:spacing w:after="40"/>
      </w:pPr>
      <w:r>
        <w:rPr>
          <w:rFonts w:ascii="Calibri" w:hAnsi="Calibri"/>
          <w:b w:val="0"/>
          <w:i w:val="0"/>
          <w:sz w:val="21"/>
        </w:rPr>
        <w:t>Benefits realisation tracking (Phase 3)</w:t>
      </w:r>
    </w:p>
    <w:p>
      <w:pPr>
        <w:pStyle w:val="ListBullet"/>
        <w:spacing w:after="40"/>
      </w:pPr>
      <w:r>
        <w:rPr>
          <w:rFonts w:ascii="Calibri" w:hAnsi="Calibri"/>
          <w:b w:val="0"/>
          <w:i w:val="0"/>
          <w:sz w:val="21"/>
        </w:rPr>
        <w:t>More than one product group</w:t>
      </w:r>
    </w:p>
    <w:p>
      <w:pPr>
        <w:spacing w:before="280" w:after="80"/>
      </w:pPr>
      <w:r>
        <w:rPr>
          <w:rFonts w:ascii="Calibri" w:hAnsi="Calibri"/>
          <w:b/>
          <w:i w:val="0"/>
          <w:color w:val="0F2D5E"/>
          <w:sz w:val="32"/>
        </w:rPr>
        <w:t>Success Criteria — Phase 1</w:t>
      </w:r>
    </w:p>
    <w:tbl>
      <w:tblPr>
        <w:tblStyle w:val="TableGrid"/>
        <w:tblW w:type="auto" w:w="0"/>
        <w:jc w:val="left"/>
        <w:tblLook w:firstColumn="1" w:firstRow="1" w:lastColumn="0" w:lastRow="0" w:noHBand="0" w:noVBand="1" w:val="04A0"/>
      </w:tblPr>
      <w:tblGrid>
        <w:gridCol w:w="3135"/>
        <w:gridCol w:w="3135"/>
        <w:gridCol w:w="3135"/>
      </w:tblGrid>
      <w:tr>
        <w:tc>
          <w:tcPr>
            <w:tcW w:type="dxa" w:w="4320"/>
            <w:shd w:val="clear" w:color="auto" w:fill="0F2D5E"/>
          </w:tcPr>
          <w:p>
            <w:pPr>
              <w:jc w:val="center"/>
            </w:pPr>
            <w:r>
              <w:rPr>
                <w:rFonts w:ascii="Calibri" w:hAnsi="Calibri"/>
                <w:b/>
                <w:i w:val="0"/>
                <w:color w:val="FFFFFF"/>
                <w:sz w:val="19"/>
              </w:rPr>
              <w:t>Success Criterion</w:t>
            </w:r>
          </w:p>
        </w:tc>
        <w:tc>
          <w:tcPr>
            <w:tcW w:type="dxa" w:w="3600"/>
            <w:shd w:val="clear" w:color="auto" w:fill="0F2D5E"/>
          </w:tcPr>
          <w:p>
            <w:pPr>
              <w:jc w:val="center"/>
            </w:pPr>
            <w:r>
              <w:rPr>
                <w:rFonts w:ascii="Calibri" w:hAnsi="Calibri"/>
                <w:b/>
                <w:i w:val="0"/>
                <w:color w:val="FFFFFF"/>
                <w:sz w:val="19"/>
              </w:rPr>
              <w:t>Measure</w:t>
            </w:r>
          </w:p>
        </w:tc>
        <w:tc>
          <w:tcPr>
            <w:tcW w:type="dxa" w:w="5760"/>
            <w:shd w:val="clear" w:color="auto" w:fill="0F2D5E"/>
          </w:tcPr>
          <w:p>
            <w:pPr>
              <w:jc w:val="center"/>
            </w:pPr>
            <w:r>
              <w:rPr>
                <w:rFonts w:ascii="Calibri" w:hAnsi="Calibri"/>
                <w:b/>
                <w:i w:val="0"/>
                <w:color w:val="FFFFFF"/>
                <w:sz w:val="19"/>
              </w:rPr>
              <w:t>Target</w:t>
            </w:r>
          </w:p>
        </w:tc>
      </w:tr>
      <w:tr>
        <w:tc>
          <w:tcPr>
            <w:tcW w:type="dxa" w:w="4320"/>
            <w:shd w:val="clear" w:color="auto" w:fill="EFF6FF"/>
          </w:tcPr>
          <w:p>
            <w:r>
              <w:rPr>
                <w:rFonts w:ascii="Calibri" w:hAnsi="Calibri"/>
                <w:b w:val="0"/>
                <w:i w:val="0"/>
                <w:sz w:val="19"/>
              </w:rPr>
              <w:t>VSM accuracy</w:t>
            </w:r>
          </w:p>
        </w:tc>
        <w:tc>
          <w:tcPr>
            <w:tcW w:type="dxa" w:w="3600"/>
            <w:shd w:val="clear" w:color="auto" w:fill="EFF6FF"/>
          </w:tcPr>
          <w:p>
            <w:r>
              <w:rPr>
                <w:rFonts w:ascii="Calibri" w:hAnsi="Calibri"/>
                <w:b w:val="0"/>
                <w:i w:val="0"/>
                <w:sz w:val="19"/>
              </w:rPr>
              <w:t>Lead time within ±10% of manual audit</w:t>
            </w:r>
          </w:p>
        </w:tc>
        <w:tc>
          <w:tcPr>
            <w:tcW w:type="dxa" w:w="5760"/>
            <w:shd w:val="clear" w:color="auto" w:fill="EFF6FF"/>
          </w:tcPr>
          <w:p>
            <w:r>
              <w:rPr>
                <w:rFonts w:ascii="Calibri" w:hAnsi="Calibri"/>
                <w:b w:val="0"/>
                <w:i w:val="0"/>
                <w:sz w:val="19"/>
              </w:rPr>
              <w:t>Validated by client engineer</w:t>
            </w:r>
          </w:p>
        </w:tc>
      </w:tr>
      <w:tr>
        <w:tc>
          <w:tcPr>
            <w:tcW w:type="dxa" w:w="4320"/>
          </w:tcPr>
          <w:p>
            <w:r>
              <w:rPr>
                <w:rFonts w:ascii="Calibri" w:hAnsi="Calibri"/>
                <w:b w:val="0"/>
                <w:i w:val="0"/>
                <w:sz w:val="19"/>
              </w:rPr>
              <w:t>Bottleneck quality</w:t>
            </w:r>
          </w:p>
        </w:tc>
        <w:tc>
          <w:tcPr>
            <w:tcW w:type="dxa" w:w="3600"/>
          </w:tcPr>
          <w:p>
            <w:r>
              <w:rPr>
                <w:rFonts w:ascii="Calibri" w:hAnsi="Calibri"/>
                <w:b w:val="0"/>
                <w:i w:val="0"/>
                <w:sz w:val="19"/>
              </w:rPr>
              <w:t>Top 3 bottlenecks validated by client SME</w:t>
            </w:r>
          </w:p>
        </w:tc>
        <w:tc>
          <w:tcPr>
            <w:tcW w:type="dxa" w:w="5760"/>
          </w:tcPr>
          <w:p>
            <w:r>
              <w:rPr>
                <w:rFonts w:ascii="Calibri" w:hAnsi="Calibri"/>
                <w:b w:val="0"/>
                <w:i w:val="0"/>
                <w:sz w:val="19"/>
              </w:rPr>
              <w:t>Engineer confirms accuracy</w:t>
            </w:r>
          </w:p>
        </w:tc>
      </w:tr>
      <w:tr>
        <w:tc>
          <w:tcPr>
            <w:tcW w:type="dxa" w:w="4320"/>
            <w:shd w:val="clear" w:color="auto" w:fill="EFF6FF"/>
          </w:tcPr>
          <w:p>
            <w:r>
              <w:rPr>
                <w:rFonts w:ascii="Calibri" w:hAnsi="Calibri"/>
                <w:b w:val="0"/>
                <w:i w:val="0"/>
                <w:sz w:val="19"/>
              </w:rPr>
              <w:t>Business case quality</w:t>
            </w:r>
          </w:p>
        </w:tc>
        <w:tc>
          <w:tcPr>
            <w:tcW w:type="dxa" w:w="3600"/>
            <w:shd w:val="clear" w:color="auto" w:fill="EFF6FF"/>
          </w:tcPr>
          <w:p>
            <w:r>
              <w:rPr>
                <w:rFonts w:ascii="Calibri" w:hAnsi="Calibri"/>
                <w:b w:val="0"/>
                <w:i w:val="0"/>
                <w:sz w:val="19"/>
              </w:rPr>
              <w:t>CFO readability score</w:t>
            </w:r>
          </w:p>
        </w:tc>
        <w:tc>
          <w:tcPr>
            <w:tcW w:type="dxa" w:w="5760"/>
            <w:shd w:val="clear" w:color="auto" w:fill="EFF6FF"/>
          </w:tcPr>
          <w:p>
            <w:r>
              <w:rPr>
                <w:rFonts w:ascii="Calibri" w:hAnsi="Calibri"/>
                <w:b w:val="0"/>
                <w:i w:val="0"/>
                <w:sz w:val="19"/>
              </w:rPr>
              <w:t>≥4/5 from sponsor</w:t>
            </w:r>
          </w:p>
        </w:tc>
      </w:tr>
      <w:tr>
        <w:tc>
          <w:tcPr>
            <w:tcW w:type="dxa" w:w="4320"/>
          </w:tcPr>
          <w:p>
            <w:r>
              <w:rPr>
                <w:rFonts w:ascii="Calibri" w:hAnsi="Calibri"/>
                <w:b w:val="0"/>
                <w:i w:val="0"/>
                <w:sz w:val="19"/>
              </w:rPr>
              <w:t>Option recommendation</w:t>
            </w:r>
          </w:p>
        </w:tc>
        <w:tc>
          <w:tcPr>
            <w:tcW w:type="dxa" w:w="3600"/>
          </w:tcPr>
          <w:p>
            <w:r>
              <w:rPr>
                <w:rFonts w:ascii="Calibri" w:hAnsi="Calibri"/>
                <w:b w:val="0"/>
                <w:i w:val="0"/>
                <w:sz w:val="19"/>
              </w:rPr>
              <w:t>Sponsor endorses recommended option</w:t>
            </w:r>
          </w:p>
        </w:tc>
        <w:tc>
          <w:tcPr>
            <w:tcW w:type="dxa" w:w="5760"/>
          </w:tcPr>
          <w:p>
            <w:r>
              <w:rPr>
                <w:rFonts w:ascii="Calibri" w:hAnsi="Calibri"/>
                <w:b w:val="0"/>
                <w:i w:val="0"/>
                <w:sz w:val="19"/>
              </w:rPr>
              <w:t>Written endorsement</w:t>
            </w:r>
          </w:p>
        </w:tc>
      </w:tr>
      <w:tr>
        <w:tc>
          <w:tcPr>
            <w:tcW w:type="dxa" w:w="4320"/>
            <w:shd w:val="clear" w:color="auto" w:fill="EFF6FF"/>
          </w:tcPr>
          <w:p>
            <w:r>
              <w:rPr>
                <w:rFonts w:ascii="Calibri" w:hAnsi="Calibri"/>
                <w:b w:val="0"/>
                <w:i w:val="0"/>
                <w:sz w:val="19"/>
              </w:rPr>
              <w:t>Savings identification</w:t>
            </w:r>
          </w:p>
        </w:tc>
        <w:tc>
          <w:tcPr>
            <w:tcW w:type="dxa" w:w="3600"/>
            <w:shd w:val="clear" w:color="auto" w:fill="EFF6FF"/>
          </w:tcPr>
          <w:p>
            <w:r>
              <w:rPr>
                <w:rFonts w:ascii="Calibri" w:hAnsi="Calibri"/>
                <w:b w:val="0"/>
                <w:i w:val="0"/>
                <w:sz w:val="19"/>
              </w:rPr>
              <w:t>Annual savings opportunity identified</w:t>
            </w:r>
          </w:p>
        </w:tc>
        <w:tc>
          <w:tcPr>
            <w:tcW w:type="dxa" w:w="5760"/>
            <w:shd w:val="clear" w:color="auto" w:fill="EFF6FF"/>
          </w:tcPr>
          <w:p>
            <w:r>
              <w:rPr>
                <w:rFonts w:ascii="Calibri" w:hAnsi="Calibri"/>
                <w:b w:val="0"/>
                <w:i w:val="0"/>
                <w:sz w:val="19"/>
              </w:rPr>
              <w:t>≥$500,000</w:t>
            </w:r>
          </w:p>
        </w:tc>
      </w:tr>
      <w:tr>
        <w:tc>
          <w:tcPr>
            <w:tcW w:type="dxa" w:w="4320"/>
          </w:tcPr>
          <w:p>
            <w:r>
              <w:rPr>
                <w:rFonts w:ascii="Calibri" w:hAnsi="Calibri"/>
                <w:b w:val="0"/>
                <w:i w:val="0"/>
                <w:sz w:val="19"/>
              </w:rPr>
              <w:t>Phase 3 decision</w:t>
            </w:r>
          </w:p>
        </w:tc>
        <w:tc>
          <w:tcPr>
            <w:tcW w:type="dxa" w:w="3600"/>
          </w:tcPr>
          <w:p>
            <w:r>
              <w:rPr>
                <w:rFonts w:ascii="Calibri" w:hAnsi="Calibri"/>
                <w:b w:val="0"/>
                <w:i w:val="0"/>
                <w:sz w:val="19"/>
              </w:rPr>
              <w:t>Client actively considering Phase 3</w:t>
            </w:r>
          </w:p>
        </w:tc>
        <w:tc>
          <w:tcPr>
            <w:tcW w:type="dxa" w:w="5760"/>
          </w:tcPr>
          <w:p>
            <w:r>
              <w:rPr>
                <w:rFonts w:ascii="Calibri" w:hAnsi="Calibri"/>
                <w:b w:val="0"/>
                <w:i w:val="0"/>
                <w:sz w:val="19"/>
              </w:rPr>
              <w:t>Verbal or written intent to proceed</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