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RACI Matrix</w:t>
      </w:r>
    </w:p>
    <w:p>
      <w:r>
        <w:rPr>
          <w:rFonts w:ascii="Calibri" w:hAnsi="Calibri"/>
          <w:b w:val="0"/>
          <w:i/>
          <w:color w:val="2563EB"/>
          <w:sz w:val="24"/>
        </w:rPr>
        <w:t>Roles and Responsibilities — AI-Powered PDLC Transformation Phase 1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DOC-SET2-14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RACI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4703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Responsible — does the work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Accountable — owns the outcome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Consulted — input required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Informed — notified of outcome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Phase 1 RACI by Activity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Transform'n Lead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Analyst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 PM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 IT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Eng SME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Sponsor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Contract + SOW sign-off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Kick-off meeting facilitation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Preview: 3 AI transformation options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export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deployment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 configuration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pipeline execution (Phase 1 agents)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accuracy validation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review (speed/productivity/quality)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Design Workshop facilitation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A/B/C selection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(3-option) review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CFO presentation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preparation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delivery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option decision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programme kick-off approval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Knowledge transfer delivery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Post-Phase 1 support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A/R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Key Decision Points Requiring Sponsor Accountability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Option A/B/C selection — this is the most consequential decision of Phase 1. Sponsor owns it.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Business case CFO endorsement — Finance sign-off before Phase 3 investment is approved.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Phase 3 programme kick-off — formal approval to proceed with the chosen option.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