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Calibri" w:hAnsi="Calibri"/>
          <w:b/>
          <w:i w:val="0"/>
          <w:color w:val="2563EB"/>
          <w:sz w:val="26"/>
        </w:rPr>
        <w:t>AI-Powered PDLC Transformation</w:t>
      </w:r>
    </w:p>
    <w:p>
      <w:r>
        <w:rPr>
          <w:rFonts w:ascii="Calibri" w:hAnsi="Calibri"/>
          <w:b w:val="0"/>
          <w:i w:val="0"/>
          <w:color w:val="0F2D5E"/>
          <w:sz w:val="22"/>
        </w:rPr>
        <w:t>GTM Pack — Set 2: Pilot Engagement Pack</w:t>
      </w:r>
    </w:p>
    <w:p/>
    <w:p>
      <w:r>
        <w:rPr>
          <w:rFonts w:ascii="Calibri" w:hAnsi="Calibri"/>
          <w:b/>
          <w:i w:val="0"/>
          <w:color w:val="0F2D5E"/>
          <w:sz w:val="44"/>
        </w:rPr>
        <w:t>Kick-off Meeting Guide</w:t>
      </w:r>
    </w:p>
    <w:p>
      <w:r>
        <w:rPr>
          <w:rFonts w:ascii="Calibri" w:hAnsi="Calibri"/>
          <w:b w:val="0"/>
          <w:i/>
          <w:color w:val="2563EB"/>
          <w:sz w:val="24"/>
        </w:rPr>
        <w:t>Phase 1 (Diagnose) Kick-off — Facilitator's Guide</w:t>
      </w:r>
    </w:p>
    <w:p/>
    <w:p/>
    <w:p>
      <w:pPr>
        <w:spacing w:before="120" w:after="120"/>
        <w:pBdr>
          <w:bottom w:val="single" w:sz="6" w:space="1" w:color="2563EB"/>
        </w:pBdr>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F2D5E"/>
          </w:tcPr>
          <w:p>
            <w:pPr>
              <w:jc w:val="center"/>
            </w:pPr>
            <w:r>
              <w:rPr>
                <w:rFonts w:ascii="Calibri" w:hAnsi="Calibri"/>
                <w:b/>
                <w:i w:val="0"/>
                <w:color w:val="FFFFFF"/>
                <w:sz w:val="19"/>
              </w:rPr>
              <w:t>Document</w:t>
            </w:r>
          </w:p>
        </w:tc>
        <w:tc>
          <w:tcPr>
            <w:tcW w:type="dxa" w:w="2351"/>
            <w:shd w:val="clear" w:color="auto" w:fill="0F2D5E"/>
          </w:tcPr>
          <w:p>
            <w:pPr>
              <w:jc w:val="center"/>
            </w:pPr>
            <w:r>
              <w:rPr>
                <w:rFonts w:ascii="Calibri" w:hAnsi="Calibri"/>
                <w:b/>
                <w:i w:val="0"/>
                <w:color w:val="FFFFFF"/>
                <w:sz w:val="19"/>
              </w:rPr>
              <w:t>Version</w:t>
            </w:r>
          </w:p>
        </w:tc>
        <w:tc>
          <w:tcPr>
            <w:tcW w:type="dxa" w:w="2351"/>
            <w:shd w:val="clear" w:color="auto" w:fill="0F2D5E"/>
          </w:tcPr>
          <w:p>
            <w:pPr>
              <w:jc w:val="center"/>
            </w:pPr>
            <w:r>
              <w:rPr>
                <w:rFonts w:ascii="Calibri" w:hAnsi="Calibri"/>
                <w:b/>
                <w:i w:val="0"/>
                <w:color w:val="FFFFFF"/>
                <w:sz w:val="19"/>
              </w:rPr>
              <w:t>Date</w:t>
            </w:r>
          </w:p>
        </w:tc>
        <w:tc>
          <w:tcPr>
            <w:tcW w:type="dxa" w:w="2351"/>
            <w:shd w:val="clear" w:color="auto" w:fill="0F2D5E"/>
          </w:tcPr>
          <w:p>
            <w:pPr>
              <w:jc w:val="center"/>
            </w:pPr>
            <w:r>
              <w:rPr>
                <w:rFonts w:ascii="Calibri" w:hAnsi="Calibri"/>
                <w:b/>
                <w:i w:val="0"/>
                <w:color w:val="FFFFFF"/>
                <w:sz w:val="19"/>
              </w:rPr>
              <w:t>Classification</w:t>
            </w:r>
          </w:p>
        </w:tc>
      </w:tr>
      <w:tr>
        <w:tc>
          <w:tcPr>
            <w:tcW w:type="dxa" w:w="2351"/>
            <w:shd w:val="clear" w:color="auto" w:fill="EFF6FF"/>
          </w:tcPr>
          <w:p>
            <w:r>
              <w:rPr>
                <w:rFonts w:ascii="Calibri" w:hAnsi="Calibri"/>
                <w:b w:val="0"/>
                <w:i w:val="0"/>
                <w:sz w:val="19"/>
              </w:rPr>
              <w:t>DOC-SET2-17</w:t>
            </w:r>
          </w:p>
        </w:tc>
        <w:tc>
          <w:tcPr>
            <w:tcW w:type="dxa" w:w="2351"/>
            <w:shd w:val="clear" w:color="auto" w:fill="EFF6FF"/>
          </w:tcPr>
          <w:p>
            <w:r>
              <w:rPr>
                <w:rFonts w:ascii="Calibri" w:hAnsi="Calibri"/>
                <w:b w:val="0"/>
                <w:i w:val="0"/>
                <w:sz w:val="19"/>
              </w:rPr>
              <w:t>v2.0</w:t>
            </w:r>
          </w:p>
        </w:tc>
        <w:tc>
          <w:tcPr>
            <w:tcW w:type="dxa" w:w="2351"/>
            <w:shd w:val="clear" w:color="auto" w:fill="EFF6FF"/>
          </w:tcPr>
          <w:p>
            <w:r>
              <w:rPr>
                <w:rFonts w:ascii="Calibri" w:hAnsi="Calibri"/>
                <w:b w:val="0"/>
                <w:i w:val="0"/>
                <w:sz w:val="19"/>
              </w:rPr>
              <w:t>March 2026</w:t>
            </w:r>
          </w:p>
        </w:tc>
        <w:tc>
          <w:tcPr>
            <w:tcW w:type="dxa" w:w="2351"/>
            <w:shd w:val="clear" w:color="auto" w:fill="EFF6FF"/>
          </w:tcPr>
          <w:p>
            <w:r>
              <w:rPr>
                <w:rFonts w:ascii="Calibri" w:hAnsi="Calibri"/>
                <w:b w:val="0"/>
                <w:i w:val="0"/>
                <w:sz w:val="19"/>
              </w:rPr>
              <w:t>Commercial Confidential</w:t>
            </w:r>
          </w:p>
        </w:tc>
      </w:tr>
    </w:tbl>
    <w:p/>
    <w:p>
      <w:r>
        <w:br w:type="page"/>
      </w:r>
    </w:p>
    <w:p>
      <w:pPr>
        <w:spacing w:before="280" w:after="80"/>
      </w:pPr>
      <w:r>
        <w:rPr>
          <w:rFonts w:ascii="Calibri" w:hAnsi="Calibri"/>
          <w:b/>
          <w:i w:val="0"/>
          <w:color w:val="0F2D5E"/>
          <w:sz w:val="32"/>
        </w:rPr>
        <w:t>Meeting Purpose</w:t>
      </w:r>
    </w:p>
    <w:p>
      <w:pPr>
        <w:spacing w:after="80"/>
      </w:pPr>
      <w:r>
        <w:rPr>
          <w:rFonts w:ascii="Calibri" w:hAnsi="Calibri"/>
          <w:b w:val="0"/>
          <w:i w:val="0"/>
          <w:sz w:val="21"/>
        </w:rPr>
        <w:t>The Phase 1 kick-off has two goals: (1) align all stakeholders on what Phase 1 will deliver and how, and (2) begin building the client's intuition for the three AI transformation options so that the Option Design Workshop in Week 6 is a decision, not an introduction.</w:t>
      </w:r>
    </w:p>
    <w:p>
      <w:pPr>
        <w:spacing w:before="120" w:after="120"/>
        <w:ind w:left="480" w:right="480"/>
        <w:shd w:val="clear" w:color="auto" w:fill="DBEAFE"/>
      </w:pPr>
      <w:r>
        <w:rPr>
          <w:rFonts w:ascii="Calibri" w:hAnsi="Calibri"/>
          <w:b w:val="0"/>
          <w:i/>
          <w:color w:val="0F2D5E"/>
          <w:sz w:val="21"/>
        </w:rPr>
        <w:t>Close the kick-off with this question: 'At the end of 8 weeks, you'll have your current state quantified and a business case for three AI transformation pathways. Our job today is to make sure we capture your data correctly and start building your understanding of the options. Any questions before we begin?'</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0F2D5E"/>
          </w:tcPr>
          <w:p>
            <w:pPr>
              <w:jc w:val="center"/>
            </w:pPr>
            <w:r>
              <w:rPr>
                <w:rFonts w:ascii="Calibri" w:hAnsi="Calibri"/>
                <w:b/>
                <w:i w:val="0"/>
                <w:color w:val="FFFFFF"/>
                <w:sz w:val="19"/>
              </w:rPr>
              <w:t>Attribute</w:t>
            </w:r>
          </w:p>
        </w:tc>
        <w:tc>
          <w:tcPr>
            <w:tcW w:type="dxa" w:w="10080"/>
            <w:shd w:val="clear" w:color="auto" w:fill="0F2D5E"/>
          </w:tcPr>
          <w:p>
            <w:pPr>
              <w:jc w:val="center"/>
            </w:pPr>
            <w:r>
              <w:rPr>
                <w:rFonts w:ascii="Calibri" w:hAnsi="Calibri"/>
                <w:b/>
                <w:i w:val="0"/>
                <w:color w:val="FFFFFF"/>
                <w:sz w:val="19"/>
              </w:rPr>
              <w:t>Value</w:t>
            </w:r>
          </w:p>
        </w:tc>
      </w:tr>
      <w:tr>
        <w:tc>
          <w:tcPr>
            <w:tcW w:type="dxa" w:w="3600"/>
            <w:shd w:val="clear" w:color="auto" w:fill="EFF6FF"/>
          </w:tcPr>
          <w:p>
            <w:r>
              <w:rPr>
                <w:rFonts w:ascii="Calibri" w:hAnsi="Calibri"/>
                <w:b w:val="0"/>
                <w:i w:val="0"/>
                <w:sz w:val="19"/>
              </w:rPr>
              <w:t>Duration</w:t>
            </w:r>
          </w:p>
        </w:tc>
        <w:tc>
          <w:tcPr>
            <w:tcW w:type="dxa" w:w="10080"/>
            <w:shd w:val="clear" w:color="auto" w:fill="EFF6FF"/>
          </w:tcPr>
          <w:p>
            <w:r>
              <w:rPr>
                <w:rFonts w:ascii="Calibri" w:hAnsi="Calibri"/>
                <w:b w:val="0"/>
                <w:i w:val="0"/>
                <w:sz w:val="19"/>
              </w:rPr>
              <w:t>90 minutes</w:t>
            </w:r>
          </w:p>
        </w:tc>
      </w:tr>
      <w:tr>
        <w:tc>
          <w:tcPr>
            <w:tcW w:type="dxa" w:w="3600"/>
          </w:tcPr>
          <w:p>
            <w:r>
              <w:rPr>
                <w:rFonts w:ascii="Calibri" w:hAnsi="Calibri"/>
                <w:b w:val="0"/>
                <w:i w:val="0"/>
                <w:sz w:val="19"/>
              </w:rPr>
              <w:t>Format</w:t>
            </w:r>
          </w:p>
        </w:tc>
        <w:tc>
          <w:tcPr>
            <w:tcW w:type="dxa" w:w="10080"/>
          </w:tcPr>
          <w:p>
            <w:r>
              <w:rPr>
                <w:rFonts w:ascii="Calibri" w:hAnsi="Calibri"/>
                <w:b w:val="0"/>
                <w:i w:val="0"/>
                <w:sz w:val="19"/>
              </w:rPr>
              <w:t>In-person or video call — screen-share required for platform demo</w:t>
            </w:r>
          </w:p>
        </w:tc>
      </w:tr>
      <w:tr>
        <w:tc>
          <w:tcPr>
            <w:tcW w:type="dxa" w:w="3600"/>
            <w:shd w:val="clear" w:color="auto" w:fill="EFF6FF"/>
          </w:tcPr>
          <w:p>
            <w:r>
              <w:rPr>
                <w:rFonts w:ascii="Calibri" w:hAnsi="Calibri"/>
                <w:b w:val="0"/>
                <w:i w:val="0"/>
                <w:sz w:val="19"/>
              </w:rPr>
              <w:t>Attendees</w:t>
            </w:r>
          </w:p>
        </w:tc>
        <w:tc>
          <w:tcPr>
            <w:tcW w:type="dxa" w:w="10080"/>
            <w:shd w:val="clear" w:color="auto" w:fill="EFF6FF"/>
          </w:tcPr>
          <w:p>
            <w:r>
              <w:rPr>
                <w:rFonts w:ascii="Calibri" w:hAnsi="Calibri"/>
                <w:b w:val="0"/>
                <w:i w:val="0"/>
                <w:sz w:val="19"/>
              </w:rPr>
              <w:t>Sponsor, Client PM, Platform Admin (IT), Engineering SME (1–2), Transformation Lead, Analyst</w:t>
            </w:r>
          </w:p>
        </w:tc>
      </w:tr>
      <w:tr>
        <w:tc>
          <w:tcPr>
            <w:tcW w:type="dxa" w:w="3600"/>
          </w:tcPr>
          <w:p>
            <w:r>
              <w:rPr>
                <w:rFonts w:ascii="Calibri" w:hAnsi="Calibri"/>
                <w:b w:val="0"/>
                <w:i w:val="0"/>
                <w:sz w:val="19"/>
              </w:rPr>
              <w:t>Key output</w:t>
            </w:r>
          </w:p>
        </w:tc>
        <w:tc>
          <w:tcPr>
            <w:tcW w:type="dxa" w:w="10080"/>
          </w:tcPr>
          <w:p>
            <w:r>
              <w:rPr>
                <w:rFonts w:ascii="Calibri" w:hAnsi="Calibri"/>
                <w:b w:val="0"/>
                <w:i w:val="0"/>
                <w:sz w:val="19"/>
              </w:rPr>
              <w:t>Aligned on Phase 1 scope; initial option awareness established; data extract planned</w:t>
            </w:r>
          </w:p>
        </w:tc>
      </w:tr>
    </w:tbl>
    <w:p/>
    <w:p>
      <w:pPr>
        <w:spacing w:before="280" w:after="80"/>
      </w:pPr>
      <w:r>
        <w:rPr>
          <w:rFonts w:ascii="Calibri" w:hAnsi="Calibri"/>
          <w:b/>
          <w:i w:val="0"/>
          <w:color w:val="0F2D5E"/>
          <w:sz w:val="32"/>
        </w:rPr>
        <w:t>Detailed Agenda</w:t>
      </w:r>
    </w:p>
    <w:p>
      <w:pPr>
        <w:spacing w:before="200" w:after="60"/>
      </w:pPr>
      <w:r>
        <w:rPr>
          <w:rFonts w:ascii="Calibri" w:hAnsi="Calibri"/>
          <w:b/>
          <w:i w:val="0"/>
          <w:color w:val="2563EB"/>
          <w:sz w:val="26"/>
        </w:rPr>
        <w:t>0:00–0:05 — Welcome and Introductions</w:t>
      </w:r>
    </w:p>
    <w:p>
      <w:pPr>
        <w:spacing w:after="80"/>
      </w:pPr>
      <w:r>
        <w:rPr>
          <w:rFonts w:ascii="Calibri" w:hAnsi="Calibri"/>
          <w:b w:val="0"/>
          <w:i/>
          <w:color w:val="2563EB"/>
          <w:sz w:val="21"/>
        </w:rPr>
        <w:t>Owner: Transformation Lead</w:t>
      </w:r>
    </w:p>
    <w:p>
      <w:pPr>
        <w:spacing w:after="80"/>
      </w:pPr>
      <w:r>
        <w:rPr>
          <w:rFonts w:ascii="Calibri" w:hAnsi="Calibri"/>
          <w:b w:val="0"/>
          <w:i w:val="0"/>
          <w:sz w:val="21"/>
        </w:rPr>
        <w:t>Name + role around the table. Confirm 90-min format.</w:t>
      </w:r>
    </w:p>
    <w:p>
      <w:pPr>
        <w:spacing w:before="200" w:after="60"/>
      </w:pPr>
      <w:r>
        <w:rPr>
          <w:rFonts w:ascii="Calibri" w:hAnsi="Calibri"/>
          <w:b/>
          <w:i w:val="0"/>
          <w:color w:val="2563EB"/>
          <w:sz w:val="26"/>
        </w:rPr>
        <w:t>0:05–0:15 — Phase 1 Objectives and What You'll Receive</w:t>
      </w:r>
    </w:p>
    <w:p>
      <w:pPr>
        <w:spacing w:after="80"/>
      </w:pPr>
      <w:r>
        <w:rPr>
          <w:rFonts w:ascii="Calibri" w:hAnsi="Calibri"/>
          <w:b w:val="0"/>
          <w:i/>
          <w:color w:val="2563EB"/>
          <w:sz w:val="21"/>
        </w:rPr>
        <w:t>Owner: Transformation Lead</w:t>
      </w:r>
    </w:p>
    <w:p>
      <w:pPr>
        <w:spacing w:after="80"/>
      </w:pPr>
      <w:r>
        <w:rPr>
          <w:rFonts w:ascii="Calibri" w:hAnsi="Calibri"/>
          <w:b w:val="0"/>
          <w:i w:val="0"/>
          <w:sz w:val="21"/>
        </w:rPr>
        <w:t>Walk through 8 deliverables. Confirm client understands Phase 1 ends with a business case for 3 options, not just a report.</w:t>
      </w:r>
    </w:p>
    <w:p>
      <w:pPr>
        <w:spacing w:before="200" w:after="60"/>
      </w:pPr>
      <w:r>
        <w:rPr>
          <w:rFonts w:ascii="Calibri" w:hAnsi="Calibri"/>
          <w:b/>
          <w:i w:val="0"/>
          <w:color w:val="2563EB"/>
          <w:sz w:val="26"/>
        </w:rPr>
        <w:t>0:15–0:30 — The AI-Powered PDLC Transformation Offering Overview</w:t>
      </w:r>
    </w:p>
    <w:p>
      <w:pPr>
        <w:spacing w:after="80"/>
      </w:pPr>
      <w:r>
        <w:rPr>
          <w:rFonts w:ascii="Calibri" w:hAnsi="Calibri"/>
          <w:b w:val="0"/>
          <w:i/>
          <w:color w:val="2563EB"/>
          <w:sz w:val="21"/>
        </w:rPr>
        <w:t>Owner: Transformation Lead</w:t>
      </w:r>
    </w:p>
    <w:p>
      <w:pPr>
        <w:spacing w:after="80"/>
      </w:pPr>
      <w:r>
        <w:rPr>
          <w:rFonts w:ascii="Calibri" w:hAnsi="Calibri"/>
          <w:b w:val="0"/>
          <w:i w:val="0"/>
          <w:sz w:val="21"/>
        </w:rPr>
        <w:t>Use the offering slide (01b-offering-slide-v2). Walk through Diagnose/Design/Deliver. Show the 3 options at a high level. Say: 'We'll spend 8 weeks gathering your data so you can make an informed choice between these pathways.'</w:t>
      </w:r>
    </w:p>
    <w:p>
      <w:pPr>
        <w:spacing w:before="200" w:after="60"/>
      </w:pPr>
      <w:r>
        <w:rPr>
          <w:rFonts w:ascii="Calibri" w:hAnsi="Calibri"/>
          <w:b/>
          <w:i w:val="0"/>
          <w:color w:val="2563EB"/>
          <w:sz w:val="26"/>
        </w:rPr>
        <w:t>0:30–0:45 — Platform Live Demo — 5-Screen Walkthrough</w:t>
      </w:r>
    </w:p>
    <w:p>
      <w:pPr>
        <w:spacing w:after="80"/>
      </w:pPr>
      <w:r>
        <w:rPr>
          <w:rFonts w:ascii="Calibri" w:hAnsi="Calibri"/>
          <w:b w:val="0"/>
          <w:i/>
          <w:color w:val="2563EB"/>
          <w:sz w:val="21"/>
        </w:rPr>
        <w:t>Owner: Transformation Lead</w:t>
      </w:r>
    </w:p>
    <w:p>
      <w:pPr>
        <w:spacing w:after="80"/>
      </w:pPr>
      <w:r>
        <w:rPr>
          <w:rFonts w:ascii="Calibri" w:hAnsi="Calibri"/>
          <w:b w:val="0"/>
          <w:i w:val="0"/>
          <w:sz w:val="21"/>
        </w:rPr>
        <w:t>ALM Connect → VSM → DORA → Bottlenecks → Business Case. Use US Bank data. Say: 'This is what Phase 1 produces for your team.' Pause after each screen for questions.</w:t>
      </w:r>
    </w:p>
    <w:p>
      <w:pPr>
        <w:spacing w:before="200" w:after="60"/>
      </w:pPr>
      <w:r>
        <w:rPr>
          <w:rFonts w:ascii="Calibri" w:hAnsi="Calibri"/>
          <w:b/>
          <w:i w:val="0"/>
          <w:color w:val="2563EB"/>
          <w:sz w:val="26"/>
        </w:rPr>
        <w:t>0:45–1:00 — Data Requirements Review</w:t>
      </w:r>
    </w:p>
    <w:p>
      <w:pPr>
        <w:spacing w:after="80"/>
      </w:pPr>
      <w:r>
        <w:rPr>
          <w:rFonts w:ascii="Calibri" w:hAnsi="Calibri"/>
          <w:b w:val="0"/>
          <w:i/>
          <w:color w:val="2563EB"/>
          <w:sz w:val="21"/>
        </w:rPr>
        <w:t>Owner: Transformation Lead + Client IT</w:t>
      </w:r>
    </w:p>
    <w:p>
      <w:pPr>
        <w:spacing w:after="80"/>
      </w:pPr>
      <w:r>
        <w:rPr>
          <w:rFonts w:ascii="Calibri" w:hAnsi="Calibri"/>
          <w:b w:val="0"/>
          <w:i w:val="0"/>
          <w:sz w:val="21"/>
        </w:rPr>
        <w:t>Walk through ALM export checklist field-by-field. Confirm Jira/ADO access. Set delivery date for first extract.</w:t>
      </w:r>
    </w:p>
    <w:p>
      <w:pPr>
        <w:spacing w:before="200" w:after="60"/>
      </w:pPr>
      <w:r>
        <w:rPr>
          <w:rFonts w:ascii="Calibri" w:hAnsi="Calibri"/>
          <w:b/>
          <w:i w:val="0"/>
          <w:color w:val="2563EB"/>
          <w:sz w:val="26"/>
        </w:rPr>
        <w:t>1:00–1:10 — DORA Source Configuration</w:t>
      </w:r>
    </w:p>
    <w:p>
      <w:pPr>
        <w:spacing w:after="80"/>
      </w:pPr>
      <w:r>
        <w:rPr>
          <w:rFonts w:ascii="Calibri" w:hAnsi="Calibri"/>
          <w:b w:val="0"/>
          <w:i/>
          <w:color w:val="2563EB"/>
          <w:sz w:val="21"/>
        </w:rPr>
        <w:t>Owner: Transformation Lead + Eng SME</w:t>
      </w:r>
    </w:p>
    <w:p>
      <w:pPr>
        <w:spacing w:after="80"/>
      </w:pPr>
      <w:r>
        <w:rPr>
          <w:rFonts w:ascii="Calibri" w:hAnsi="Calibri"/>
          <w:b w:val="0"/>
          <w:i w:val="0"/>
          <w:sz w:val="21"/>
        </w:rPr>
        <w:t>Confirm 4 DORA sources. Client IT sets up read-only tokens this week.</w:t>
      </w:r>
    </w:p>
    <w:p>
      <w:pPr>
        <w:spacing w:before="200" w:after="60"/>
      </w:pPr>
      <w:r>
        <w:rPr>
          <w:rFonts w:ascii="Calibri" w:hAnsi="Calibri"/>
          <w:b/>
          <w:i w:val="0"/>
          <w:color w:val="2563EB"/>
          <w:sz w:val="26"/>
        </w:rPr>
        <w:t>1:10–1:20 — Timeline and Milestones</w:t>
      </w:r>
    </w:p>
    <w:p>
      <w:pPr>
        <w:spacing w:after="80"/>
      </w:pPr>
      <w:r>
        <w:rPr>
          <w:rFonts w:ascii="Calibri" w:hAnsi="Calibri"/>
          <w:b w:val="0"/>
          <w:i/>
          <w:color w:val="2563EB"/>
          <w:sz w:val="21"/>
        </w:rPr>
        <w:t>Owner: Transformation Lead</w:t>
      </w:r>
    </w:p>
    <w:p>
      <w:pPr>
        <w:spacing w:after="80"/>
      </w:pPr>
      <w:r>
        <w:rPr>
          <w:rFonts w:ascii="Calibri" w:hAnsi="Calibri"/>
          <w:b w:val="0"/>
          <w:i w:val="0"/>
          <w:sz w:val="21"/>
        </w:rPr>
        <w:t>Walk through week-by-week plan. Highlight Week 6 Option Design Workshop. Confirm executive readout date (Week 8). Schedule weekly status calls.</w:t>
      </w:r>
    </w:p>
    <w:p>
      <w:pPr>
        <w:spacing w:before="200" w:after="60"/>
      </w:pPr>
      <w:r>
        <w:rPr>
          <w:rFonts w:ascii="Calibri" w:hAnsi="Calibri"/>
          <w:b/>
          <w:i w:val="0"/>
          <w:color w:val="2563EB"/>
          <w:sz w:val="26"/>
        </w:rPr>
        <w:t>1:20–1:30 — Initial Transformation Ambition Discussion</w:t>
      </w:r>
    </w:p>
    <w:p>
      <w:pPr>
        <w:spacing w:after="80"/>
      </w:pPr>
      <w:r>
        <w:rPr>
          <w:rFonts w:ascii="Calibri" w:hAnsi="Calibri"/>
          <w:b w:val="0"/>
          <w:i/>
          <w:color w:val="2563EB"/>
          <w:sz w:val="21"/>
        </w:rPr>
        <w:t>Owner: Transformation Lead</w:t>
      </w:r>
    </w:p>
    <w:p>
      <w:pPr>
        <w:spacing w:after="80"/>
      </w:pPr>
      <w:r>
        <w:rPr>
          <w:rFonts w:ascii="Calibri" w:hAnsi="Calibri"/>
          <w:b w:val="0"/>
          <w:i w:val="0"/>
          <w:sz w:val="21"/>
        </w:rPr>
        <w:t>Ask: 'Section 5 of your discovery questionnaire — which option resonated with you at this stage?' No commitment required. Just builds awareness.</w:t>
      </w:r>
    </w:p>
    <w:p>
      <w:pPr>
        <w:spacing w:before="280" w:after="80"/>
      </w:pPr>
      <w:r>
        <w:rPr>
          <w:rFonts w:ascii="Calibri" w:hAnsi="Calibri"/>
          <w:b/>
          <w:i w:val="0"/>
          <w:color w:val="0F2D5E"/>
          <w:sz w:val="32"/>
        </w:rPr>
        <w:t>Post-Kick-off Actions (Transformation Lead — within 24 hours)</w:t>
      </w:r>
    </w:p>
    <w:p>
      <w:pPr>
        <w:pStyle w:val="ListBullet"/>
        <w:spacing w:after="40"/>
      </w:pPr>
      <w:r>
        <w:rPr>
          <w:rFonts w:ascii="Calibri" w:hAnsi="Calibri"/>
          <w:b w:val="0"/>
          <w:i w:val="0"/>
          <w:sz w:val="21"/>
        </w:rPr>
        <w:t>Send meeting notes with action log (data extract date, DORA token setup, weekly call schedule)</w:t>
      </w:r>
    </w:p>
    <w:p>
      <w:pPr>
        <w:pStyle w:val="ListBullet"/>
        <w:spacing w:after="40"/>
      </w:pPr>
      <w:r>
        <w:rPr>
          <w:rFonts w:ascii="Calibri" w:hAnsi="Calibri"/>
          <w:b w:val="0"/>
          <w:i w:val="0"/>
          <w:sz w:val="21"/>
        </w:rPr>
        <w:t>Send the three-option overview (one-pager) as a leave-behind — plant the seed for option selection</w:t>
      </w:r>
    </w:p>
    <w:p>
      <w:pPr>
        <w:pStyle w:val="ListBullet"/>
        <w:spacing w:after="40"/>
      </w:pPr>
      <w:r>
        <w:rPr>
          <w:rFonts w:ascii="Calibri" w:hAnsi="Calibri"/>
          <w:b w:val="0"/>
          <w:i w:val="0"/>
          <w:sz w:val="21"/>
        </w:rPr>
        <w:t>Send ALM export template (CSV field spec)</w:t>
      </w:r>
    </w:p>
    <w:p>
      <w:pPr>
        <w:pStyle w:val="ListBullet"/>
        <w:spacing w:after="40"/>
      </w:pPr>
      <w:r>
        <w:rPr>
          <w:rFonts w:ascii="Calibri" w:hAnsi="Calibri"/>
          <w:b w:val="0"/>
          <w:i w:val="0"/>
          <w:sz w:val="21"/>
        </w:rPr>
        <w:t>Confirm Week 6 Option Design Workshop in calendar</w:t>
      </w:r>
    </w:p>
    <w:p>
      <w:pPr>
        <w:pStyle w:val="ListBullet"/>
        <w:spacing w:after="40"/>
      </w:pPr>
      <w:r>
        <w:rPr>
          <w:rFonts w:ascii="Calibri" w:hAnsi="Calibri"/>
          <w:b w:val="0"/>
          <w:i w:val="0"/>
          <w:sz w:val="21"/>
        </w:rPr>
        <w:t>Confirm Week 8 Executive Readout in sponsor's calendar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