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Risk Register</w:t>
      </w:r>
    </w:p>
    <w:p>
      <w:r>
        <w:rPr>
          <w:rFonts w:ascii="Calibri" w:hAnsi="Calibri"/>
          <w:b w:val="0"/>
          <w:i/>
          <w:color w:val="2563EB"/>
          <w:sz w:val="24"/>
        </w:rPr>
        <w:t>Phase 1 Engagement Risk Identification and Mitigation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DOC-SET2-19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7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Likelihood (1-5)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Impact (1-5)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Rating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Mitigation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export blocked by IT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On-prem option; data NDA; IT pre-engagement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too poor for VSM (&gt;40% missing dates)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Heuristic LT; data remediation sprint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Transform. Lead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selects Option C without meeting Option B prerequisites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Design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prerequisite gate; phased assessment recommendation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Transform. Lead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for chosen option rejected by CFO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3-scenario modelling (conservative/expected/optimistic); Finance pre-read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 creep: client requests Phase 3 work during Phase 1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Clear phase gate in charter; change control process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Transform. Lead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Design Workshop: client cannot align on option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Decision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Options paper left after workshop; readout is decision point, not workshop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R07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Key client stakeholder unavailable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Resource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 review via platform; 1h max per week for client team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 produces inaccurate bottleneck scores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override + SME validation in Week 5-6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Transform. Lead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R09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postponed — no decision on option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30-day post-Phase 1 support covers rescheduling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R10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 triggered — refund required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Pre-qualification: requires &gt;500K savings identifiable from data volume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Transform. Lead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