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Phase 1 Success Scorecard</w:t>
      </w:r>
    </w:p>
    <w:p>
      <w:r>
        <w:rPr>
          <w:rFonts w:ascii="Calibri" w:hAnsi="Calibri"/>
          <w:b w:val="0"/>
          <w:i/>
          <w:color w:val="2563EB"/>
          <w:sz w:val="24"/>
        </w:rPr>
        <w:t>Measuring the Quality of the Diagnose Phase — Gate to Phase 3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DOC-SET2-20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Phase 1 Success Scorecard measures the quality and completeness of the Diagnose phase. It is completed jointly by the Transformation Lead and Client PM at the end of Week 8 and serves as the primary evidence for proceeding to Phase 3 (Deliver).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Phase 1 is successful when the client can say: 'I understand my current state, I understand the three options, and I know which one I want to implement.' The scorecard measures whether we've delivered enough evidence for that decision.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1: Technical Delivery (Max: 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loaded and validated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5=100%; 3=≥80%; 1=&lt;80%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8 agents executed successfully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8; 3=6–7; 1=&lt;6 — modules: 21 total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accuracy validated by client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5=±5%; 3=±10%; 1=&gt;±10%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sources connected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4; 3=3; 1=&lt;3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uptime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5=100%; 3=≥99%; 1=&lt;99%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2: Diagnosis Quality (Max: 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Bottlenecks identified (≥3 with speed/productivity/quality scoring)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5=≥5; 3=3–4; 1=&lt;3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waste cost quantified per bottleneck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5 costed; 3=3–4; 1=&lt;3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SME validates top 3 bottlenecks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 3; 3=2; 1=&lt;2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comparisons for all 5 bottlenecks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5=all; 3=3–4; 1=&lt;3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gap analysis complete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5=full; 3=partial; 1=incomplete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3: Option Design Quality (Max: 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3 options modelled on client's actual data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5=A/B/C all modelled; 1=any missing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reviewed by Finance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5=signed off; 3=reviewed not approved; 1=not reviewed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selected or actively under consideration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5=selected; 3=in discussion; 1=no progress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endorses recommendation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5=endorsed; 3=supportive; 1=not reviewed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Playbook outline produced for chosen option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5=complete; 3=draft; 1=not done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Dimension 4: Client Readiness for Phase 3 (Max: 25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115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Scoring Guide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 trained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5=certified; 3=trained; 1=not trained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 (25+ items) in platform with owners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5=≥25 with owners; 3=15–24; 1=&lt;15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timeline agreed in principle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5=date set; 3=in discussion; 1=not discussed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confidence in Phase 3 (1–5)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5=4–5/5; 3=3/5; 1=≤2/5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delivered and well-received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5=sponsor satisfied; 3=further questions; 1=rejected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Summary and Phase 3 Gate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% of Max</w:t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Technical Delivery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Diagnosis Quality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Design Quality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Readiness for Phase 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Recommendation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Next Step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85–100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Proceed to Phase 3 — Strongly Recommended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Present Phase 3 SOW within 1 week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70–84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Proceed with Conditions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Address 1–2 gaps; re-confirm option within 2 weeks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55–69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1 Extension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2-week extension to complete option design; re-score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&lt;55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 Review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Invoke refund clause or negotiate remediation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