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i w:val="0"/>
          <w:color w:val="2563EB"/>
          <w:sz w:val="26"/>
        </w:rPr>
        <w:t>PDLC VSM Platform</w:t>
      </w:r>
    </w:p>
    <w:p>
      <w:r>
        <w:rPr>
          <w:rFonts w:ascii="Calibri" w:hAnsi="Calibri"/>
          <w:b w:val="0"/>
          <w:i w:val="0"/>
          <w:color w:val="0F2D5E"/>
          <w:sz w:val="22"/>
        </w:rPr>
        <w:t>GTM Pack — Set 3: Scale Implementation Pack</w:t>
      </w:r>
    </w:p>
    <w:p/>
    <w:p>
      <w:r>
        <w:rPr>
          <w:rFonts w:ascii="Calibri" w:hAnsi="Calibri"/>
          <w:b/>
          <w:i w:val="0"/>
          <w:color w:val="0F2D5E"/>
          <w:sz w:val="44"/>
        </w:rPr>
        <w:t>Platform Methodology Guide</w:t>
      </w:r>
    </w:p>
    <w:p>
      <w:r>
        <w:rPr>
          <w:rFonts w:ascii="Calibri" w:hAnsi="Calibri"/>
          <w:b w:val="0"/>
          <w:i/>
          <w:color w:val="2563EB"/>
          <w:sz w:val="24"/>
        </w:rPr>
        <w:t>The Science Behind AI-Powered Value Stream Intelligence</w:t>
      </w:r>
    </w:p>
    <w:p/>
    <w:p/>
    <w:p>
      <w:pPr>
        <w:spacing w:before="120" w:after="120"/>
        <w:pBdr>
          <w:bottom w:val="single" w:sz="6" w:space="1" w:color="2563EB"/>
        </w:pBdr>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F2D5E"/>
          </w:tcPr>
          <w:p>
            <w:pPr>
              <w:jc w:val="center"/>
            </w:pPr>
            <w:r>
              <w:rPr>
                <w:rFonts w:ascii="Calibri" w:hAnsi="Calibri"/>
                <w:b/>
                <w:i w:val="0"/>
                <w:color w:val="FFFFFF"/>
                <w:sz w:val="19"/>
              </w:rPr>
              <w:t>Document</w:t>
            </w:r>
          </w:p>
        </w:tc>
        <w:tc>
          <w:tcPr>
            <w:tcW w:type="dxa" w:w="2351"/>
            <w:shd w:val="clear" w:color="auto" w:fill="0F2D5E"/>
          </w:tcPr>
          <w:p>
            <w:pPr>
              <w:jc w:val="center"/>
            </w:pPr>
            <w:r>
              <w:rPr>
                <w:rFonts w:ascii="Calibri" w:hAnsi="Calibri"/>
                <w:b/>
                <w:i w:val="0"/>
                <w:color w:val="FFFFFF"/>
                <w:sz w:val="19"/>
              </w:rPr>
              <w:t>Version</w:t>
            </w:r>
          </w:p>
        </w:tc>
        <w:tc>
          <w:tcPr>
            <w:tcW w:type="dxa" w:w="2351"/>
            <w:shd w:val="clear" w:color="auto" w:fill="0F2D5E"/>
          </w:tcPr>
          <w:p>
            <w:pPr>
              <w:jc w:val="center"/>
            </w:pPr>
            <w:r>
              <w:rPr>
                <w:rFonts w:ascii="Calibri" w:hAnsi="Calibri"/>
                <w:b/>
                <w:i w:val="0"/>
                <w:color w:val="FFFFFF"/>
                <w:sz w:val="19"/>
              </w:rPr>
              <w:t>Date</w:t>
            </w:r>
          </w:p>
        </w:tc>
        <w:tc>
          <w:tcPr>
            <w:tcW w:type="dxa" w:w="2351"/>
            <w:shd w:val="clear" w:color="auto" w:fill="0F2D5E"/>
          </w:tcPr>
          <w:p>
            <w:pPr>
              <w:jc w:val="center"/>
            </w:pPr>
            <w:r>
              <w:rPr>
                <w:rFonts w:ascii="Calibri" w:hAnsi="Calibri"/>
                <w:b/>
                <w:i w:val="0"/>
                <w:color w:val="FFFFFF"/>
                <w:sz w:val="19"/>
              </w:rPr>
              <w:t>Classification</w:t>
            </w:r>
          </w:p>
        </w:tc>
      </w:tr>
      <w:tr>
        <w:tc>
          <w:tcPr>
            <w:tcW w:type="dxa" w:w="2351"/>
            <w:shd w:val="clear" w:color="auto" w:fill="EFF6FF"/>
          </w:tcPr>
          <w:p>
            <w:r>
              <w:rPr>
                <w:rFonts w:ascii="Calibri" w:hAnsi="Calibri"/>
                <w:b w:val="0"/>
                <w:i w:val="0"/>
                <w:sz w:val="19"/>
              </w:rPr>
              <w:t>DOC-SET3-23</w:t>
            </w:r>
          </w:p>
        </w:tc>
        <w:tc>
          <w:tcPr>
            <w:tcW w:type="dxa" w:w="2351"/>
            <w:shd w:val="clear" w:color="auto" w:fill="EFF6FF"/>
          </w:tcPr>
          <w:p>
            <w:r>
              <w:rPr>
                <w:rFonts w:ascii="Calibri" w:hAnsi="Calibri"/>
                <w:b w:val="0"/>
                <w:i w:val="0"/>
                <w:sz w:val="19"/>
              </w:rPr>
              <w:t>v1.0</w:t>
            </w:r>
          </w:p>
        </w:tc>
        <w:tc>
          <w:tcPr>
            <w:tcW w:type="dxa" w:w="2351"/>
            <w:shd w:val="clear" w:color="auto" w:fill="EFF6FF"/>
          </w:tcPr>
          <w:p>
            <w:r>
              <w:rPr>
                <w:rFonts w:ascii="Calibri" w:hAnsi="Calibri"/>
                <w:b w:val="0"/>
                <w:i w:val="0"/>
                <w:sz w:val="19"/>
              </w:rPr>
              <w:t>March 2026</w:t>
            </w:r>
          </w:p>
        </w:tc>
        <w:tc>
          <w:tcPr>
            <w:tcW w:type="dxa" w:w="2351"/>
            <w:shd w:val="clear" w:color="auto" w:fill="EFF6FF"/>
          </w:tcPr>
          <w:p>
            <w:r>
              <w:rPr>
                <w:rFonts w:ascii="Calibri" w:hAnsi="Calibri"/>
                <w:b w:val="0"/>
                <w:i w:val="0"/>
                <w:sz w:val="19"/>
              </w:rPr>
              <w:t>Commercial Confidential</w:t>
            </w:r>
          </w:p>
        </w:tc>
      </w:tr>
    </w:tbl>
    <w:p/>
    <w:p>
      <w:r>
        <w:br w:type="page"/>
      </w:r>
    </w:p>
    <w:p>
      <w:pPr>
        <w:spacing w:before="280" w:after="80"/>
      </w:pPr>
      <w:r>
        <w:rPr>
          <w:rFonts w:ascii="Calibri" w:hAnsi="Calibri"/>
          <w:b/>
          <w:i w:val="0"/>
          <w:color w:val="0F2D5E"/>
          <w:sz w:val="32"/>
        </w:rPr>
        <w:t>Introduction</w:t>
      </w:r>
    </w:p>
    <w:p>
      <w:pPr>
        <w:spacing w:after="80"/>
      </w:pPr>
      <w:r>
        <w:rPr>
          <w:rFonts w:ascii="Calibri" w:hAnsi="Calibri"/>
          <w:b w:val="0"/>
          <w:i w:val="0"/>
          <w:sz w:val="21"/>
        </w:rPr>
        <w:t>This guide explains the methodology underpinning the PDLC VSM Platform — how data is collected, how each AI agent operates, the metrics it computes, and the academic and industry foundations behind each approach. It is intended for technical practitioners, delivery leads, and data-literate executives who want to understand the 'how' behind the platform's outputs.</w:t>
      </w:r>
    </w:p>
    <w:p>
      <w:pPr>
        <w:spacing w:before="280" w:after="80"/>
      </w:pPr>
      <w:r>
        <w:rPr>
          <w:rFonts w:ascii="Calibri" w:hAnsi="Calibri"/>
          <w:b/>
          <w:i w:val="0"/>
          <w:color w:val="0F2D5E"/>
          <w:sz w:val="32"/>
        </w:rPr>
        <w:t>1. Value Stream Mapping Methodology</w:t>
      </w:r>
    </w:p>
    <w:p>
      <w:pPr>
        <w:spacing w:before="200" w:after="60"/>
      </w:pPr>
      <w:r>
        <w:rPr>
          <w:rFonts w:ascii="Calibri" w:hAnsi="Calibri"/>
          <w:b/>
          <w:i w:val="0"/>
          <w:color w:val="2563EB"/>
          <w:sz w:val="26"/>
        </w:rPr>
        <w:t>1.1 Data Collection Approach</w:t>
      </w:r>
    </w:p>
    <w:p>
      <w:pPr>
        <w:spacing w:after="80"/>
      </w:pPr>
      <w:r>
        <w:rPr>
          <w:rFonts w:ascii="Calibri" w:hAnsi="Calibri"/>
          <w:b w:val="0"/>
          <w:i w:val="0"/>
          <w:sz w:val="21"/>
        </w:rPr>
        <w:t>The platform ingests data from Application Lifecycle Management (ALM) tools — primarily Jira and Azure DevOps. The core data model requires: Issue Key, Status, Created Date, Resolved Date, Issue Type, and Sprint. Optional fields (Story Points, Priority, Epic) enhance analysis depth.</w:t>
      </w:r>
    </w:p>
    <w:p>
      <w:pPr>
        <w:spacing w:before="200" w:after="60"/>
      </w:pPr>
      <w:r>
        <w:rPr>
          <w:rFonts w:ascii="Calibri" w:hAnsi="Calibri"/>
          <w:b/>
          <w:i w:val="0"/>
          <w:color w:val="2563EB"/>
          <w:sz w:val="26"/>
        </w:rPr>
        <w:t>1.2 PDLC Phase Mapping</w:t>
      </w:r>
    </w:p>
    <w:p>
      <w:pPr>
        <w:spacing w:after="80"/>
      </w:pPr>
      <w:r>
        <w:rPr>
          <w:rFonts w:ascii="Calibri" w:hAnsi="Calibri"/>
          <w:b w:val="0"/>
          <w:i w:val="0"/>
          <w:sz w:val="21"/>
        </w:rPr>
        <w:t>Each ticket is assigned to one of 7 PDLC phases based on its status history and workflow transitions: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F2D5E"/>
          </w:tcPr>
          <w:p>
            <w:pPr>
              <w:jc w:val="center"/>
            </w:pPr>
            <w:r>
              <w:rPr>
                <w:rFonts w:ascii="Calibri" w:hAnsi="Calibri"/>
                <w:b/>
                <w:i w:val="0"/>
                <w:color w:val="FFFFFF"/>
                <w:sz w:val="19"/>
              </w:rPr>
              <w:t>PDLC Phase</w:t>
            </w:r>
          </w:p>
        </w:tc>
        <w:tc>
          <w:tcPr>
            <w:tcW w:type="dxa" w:w="4032"/>
            <w:shd w:val="clear" w:color="auto" w:fill="0F2D5E"/>
          </w:tcPr>
          <w:p>
            <w:pPr>
              <w:jc w:val="center"/>
            </w:pPr>
            <w:r>
              <w:rPr>
                <w:rFonts w:ascii="Calibri" w:hAnsi="Calibri"/>
                <w:b/>
                <w:i w:val="0"/>
                <w:color w:val="FFFFFF"/>
                <w:sz w:val="19"/>
              </w:rPr>
              <w:t>Typical Jira Statuses</w:t>
            </w:r>
          </w:p>
        </w:tc>
        <w:tc>
          <w:tcPr>
            <w:tcW w:type="dxa" w:w="5328"/>
            <w:shd w:val="clear" w:color="auto" w:fill="0F2D5E"/>
          </w:tcPr>
          <w:p>
            <w:pPr>
              <w:jc w:val="center"/>
            </w:pPr>
            <w:r>
              <w:rPr>
                <w:rFonts w:ascii="Calibri" w:hAnsi="Calibri"/>
                <w:b/>
                <w:i w:val="0"/>
                <w:color w:val="FFFFFF"/>
                <w:sz w:val="19"/>
              </w:rPr>
              <w:t>Measurement</w:t>
            </w:r>
          </w:p>
        </w:tc>
      </w:tr>
      <w:tr>
        <w:tc>
          <w:tcPr>
            <w:tcW w:type="dxa" w:w="2880"/>
            <w:shd w:val="clear" w:color="auto" w:fill="EFF6FF"/>
          </w:tcPr>
          <w:p>
            <w:r>
              <w:rPr>
                <w:rFonts w:ascii="Calibri" w:hAnsi="Calibri"/>
                <w:b w:val="0"/>
                <w:i w:val="0"/>
                <w:sz w:val="19"/>
              </w:rPr>
              <w:t>Requirements</w:t>
            </w:r>
          </w:p>
        </w:tc>
        <w:tc>
          <w:tcPr>
            <w:tcW w:type="dxa" w:w="4032"/>
            <w:shd w:val="clear" w:color="auto" w:fill="EFF6FF"/>
          </w:tcPr>
          <w:p>
            <w:r>
              <w:rPr>
                <w:rFonts w:ascii="Calibri" w:hAnsi="Calibri"/>
                <w:b w:val="0"/>
                <w:i w:val="0"/>
                <w:sz w:val="19"/>
              </w:rPr>
              <w:t>Open, Backlog, To Do</w:t>
            </w:r>
          </w:p>
        </w:tc>
        <w:tc>
          <w:tcPr>
            <w:tcW w:type="dxa" w:w="5328"/>
            <w:shd w:val="clear" w:color="auto" w:fill="EFF6FF"/>
          </w:tcPr>
          <w:p>
            <w:r>
              <w:rPr>
                <w:rFonts w:ascii="Calibri" w:hAnsi="Calibri"/>
                <w:b w:val="0"/>
                <w:i w:val="0"/>
                <w:sz w:val="19"/>
              </w:rPr>
              <w:t>Created → In Analysis date delta</w:t>
            </w:r>
          </w:p>
        </w:tc>
      </w:tr>
      <w:tr>
        <w:tc>
          <w:tcPr>
            <w:tcW w:type="dxa" w:w="2880"/>
          </w:tcPr>
          <w:p>
            <w:r>
              <w:rPr>
                <w:rFonts w:ascii="Calibri" w:hAnsi="Calibri"/>
                <w:b w:val="0"/>
                <w:i w:val="0"/>
                <w:sz w:val="19"/>
              </w:rPr>
              <w:t>Design &amp; Architecture</w:t>
            </w:r>
          </w:p>
        </w:tc>
        <w:tc>
          <w:tcPr>
            <w:tcW w:type="dxa" w:w="4032"/>
          </w:tcPr>
          <w:p>
            <w:r>
              <w:rPr>
                <w:rFonts w:ascii="Calibri" w:hAnsi="Calibri"/>
                <w:b w:val="0"/>
                <w:i w:val="0"/>
                <w:sz w:val="19"/>
              </w:rPr>
              <w:t>In Analysis, Architecture Review</w:t>
            </w:r>
          </w:p>
        </w:tc>
        <w:tc>
          <w:tcPr>
            <w:tcW w:type="dxa" w:w="5328"/>
          </w:tcPr>
          <w:p>
            <w:r>
              <w:rPr>
                <w:rFonts w:ascii="Calibri" w:hAnsi="Calibri"/>
                <w:b w:val="0"/>
                <w:i w:val="0"/>
                <w:sz w:val="19"/>
              </w:rPr>
              <w:t>In Analysis → Development delta</w:t>
            </w:r>
          </w:p>
        </w:tc>
      </w:tr>
      <w:tr>
        <w:tc>
          <w:tcPr>
            <w:tcW w:type="dxa" w:w="2880"/>
            <w:shd w:val="clear" w:color="auto" w:fill="EFF6FF"/>
          </w:tcPr>
          <w:p>
            <w:r>
              <w:rPr>
                <w:rFonts w:ascii="Calibri" w:hAnsi="Calibri"/>
                <w:b w:val="0"/>
                <w:i w:val="0"/>
                <w:sz w:val="19"/>
              </w:rPr>
              <w:t>Development</w:t>
            </w:r>
          </w:p>
        </w:tc>
        <w:tc>
          <w:tcPr>
            <w:tcW w:type="dxa" w:w="4032"/>
            <w:shd w:val="clear" w:color="auto" w:fill="EFF6FF"/>
          </w:tcPr>
          <w:p>
            <w:r>
              <w:rPr>
                <w:rFonts w:ascii="Calibri" w:hAnsi="Calibri"/>
                <w:b w:val="0"/>
                <w:i w:val="0"/>
                <w:sz w:val="19"/>
              </w:rPr>
              <w:t>In Progress, In Development</w:t>
            </w:r>
          </w:p>
        </w:tc>
        <w:tc>
          <w:tcPr>
            <w:tcW w:type="dxa" w:w="5328"/>
            <w:shd w:val="clear" w:color="auto" w:fill="EFF6FF"/>
          </w:tcPr>
          <w:p>
            <w:r>
              <w:rPr>
                <w:rFonts w:ascii="Calibri" w:hAnsi="Calibri"/>
                <w:b w:val="0"/>
                <w:i w:val="0"/>
                <w:sz w:val="19"/>
              </w:rPr>
              <w:t>In Development → Code Review delta</w:t>
            </w:r>
          </w:p>
        </w:tc>
      </w:tr>
      <w:tr>
        <w:tc>
          <w:tcPr>
            <w:tcW w:type="dxa" w:w="2880"/>
          </w:tcPr>
          <w:p>
            <w:r>
              <w:rPr>
                <w:rFonts w:ascii="Calibri" w:hAnsi="Calibri"/>
                <w:b w:val="0"/>
                <w:i w:val="0"/>
                <w:sz w:val="19"/>
              </w:rPr>
              <w:t>Code Review &amp; Merge</w:t>
            </w:r>
          </w:p>
        </w:tc>
        <w:tc>
          <w:tcPr>
            <w:tcW w:type="dxa" w:w="4032"/>
          </w:tcPr>
          <w:p>
            <w:r>
              <w:rPr>
                <w:rFonts w:ascii="Calibri" w:hAnsi="Calibri"/>
                <w:b w:val="0"/>
                <w:i w:val="0"/>
                <w:sz w:val="19"/>
              </w:rPr>
              <w:t>In Review, Peer Review, Code Review</w:t>
            </w:r>
          </w:p>
        </w:tc>
        <w:tc>
          <w:tcPr>
            <w:tcW w:type="dxa" w:w="5328"/>
          </w:tcPr>
          <w:p>
            <w:r>
              <w:rPr>
                <w:rFonts w:ascii="Calibri" w:hAnsi="Calibri"/>
                <w:b w:val="0"/>
                <w:i w:val="0"/>
                <w:sz w:val="19"/>
              </w:rPr>
              <w:t>Code Review → QA Ready delta</w:t>
            </w:r>
          </w:p>
        </w:tc>
      </w:tr>
      <w:tr>
        <w:tc>
          <w:tcPr>
            <w:tcW w:type="dxa" w:w="2880"/>
            <w:shd w:val="clear" w:color="auto" w:fill="EFF6FF"/>
          </w:tcPr>
          <w:p>
            <w:r>
              <w:rPr>
                <w:rFonts w:ascii="Calibri" w:hAnsi="Calibri"/>
                <w:b w:val="0"/>
                <w:i w:val="0"/>
                <w:sz w:val="19"/>
              </w:rPr>
              <w:t>Continuous Testing</w:t>
            </w:r>
          </w:p>
        </w:tc>
        <w:tc>
          <w:tcPr>
            <w:tcW w:type="dxa" w:w="4032"/>
            <w:shd w:val="clear" w:color="auto" w:fill="EFF6FF"/>
          </w:tcPr>
          <w:p>
            <w:r>
              <w:rPr>
                <w:rFonts w:ascii="Calibri" w:hAnsi="Calibri"/>
                <w:b w:val="0"/>
                <w:i w:val="0"/>
                <w:sz w:val="19"/>
              </w:rPr>
              <w:t>In QA, Testing, SIT, UAT</w:t>
            </w:r>
          </w:p>
        </w:tc>
        <w:tc>
          <w:tcPr>
            <w:tcW w:type="dxa" w:w="5328"/>
            <w:shd w:val="clear" w:color="auto" w:fill="EFF6FF"/>
          </w:tcPr>
          <w:p>
            <w:r>
              <w:rPr>
                <w:rFonts w:ascii="Calibri" w:hAnsi="Calibri"/>
                <w:b w:val="0"/>
                <w:i w:val="0"/>
                <w:sz w:val="19"/>
              </w:rPr>
              <w:t>QA → Done (test phases) delta</w:t>
            </w:r>
          </w:p>
        </w:tc>
      </w:tr>
      <w:tr>
        <w:tc>
          <w:tcPr>
            <w:tcW w:type="dxa" w:w="2880"/>
          </w:tcPr>
          <w:p>
            <w:r>
              <w:rPr>
                <w:rFonts w:ascii="Calibri" w:hAnsi="Calibri"/>
                <w:b w:val="0"/>
                <w:i w:val="0"/>
                <w:sz w:val="19"/>
              </w:rPr>
              <w:t>Deployment Prep</w:t>
            </w:r>
          </w:p>
        </w:tc>
        <w:tc>
          <w:tcPr>
            <w:tcW w:type="dxa" w:w="4032"/>
          </w:tcPr>
          <w:p>
            <w:r>
              <w:rPr>
                <w:rFonts w:ascii="Calibri" w:hAnsi="Calibri"/>
                <w:b w:val="0"/>
                <w:i w:val="0"/>
                <w:sz w:val="19"/>
              </w:rPr>
              <w:t>Deploy Ready, Staging, Release Candidate</w:t>
            </w:r>
          </w:p>
        </w:tc>
        <w:tc>
          <w:tcPr>
            <w:tcW w:type="dxa" w:w="5328"/>
          </w:tcPr>
          <w:p>
            <w:r>
              <w:rPr>
                <w:rFonts w:ascii="Calibri" w:hAnsi="Calibri"/>
                <w:b w:val="0"/>
                <w:i w:val="0"/>
                <w:sz w:val="19"/>
              </w:rPr>
              <w:t>Staging → Production delta</w:t>
            </w:r>
          </w:p>
        </w:tc>
      </w:tr>
      <w:tr>
        <w:tc>
          <w:tcPr>
            <w:tcW w:type="dxa" w:w="2880"/>
            <w:shd w:val="clear" w:color="auto" w:fill="EFF6FF"/>
          </w:tcPr>
          <w:p>
            <w:r>
              <w:rPr>
                <w:rFonts w:ascii="Calibri" w:hAnsi="Calibri"/>
                <w:b w:val="0"/>
                <w:i w:val="0"/>
                <w:sz w:val="19"/>
              </w:rPr>
              <w:t>Release &amp; Operations</w:t>
            </w:r>
          </w:p>
        </w:tc>
        <w:tc>
          <w:tcPr>
            <w:tcW w:type="dxa" w:w="4032"/>
            <w:shd w:val="clear" w:color="auto" w:fill="EFF6FF"/>
          </w:tcPr>
          <w:p>
            <w:r>
              <w:rPr>
                <w:rFonts w:ascii="Calibri" w:hAnsi="Calibri"/>
                <w:b w:val="0"/>
                <w:i w:val="0"/>
                <w:sz w:val="19"/>
              </w:rPr>
              <w:t>Released, Done, Closed</w:t>
            </w:r>
          </w:p>
        </w:tc>
        <w:tc>
          <w:tcPr>
            <w:tcW w:type="dxa" w:w="5328"/>
            <w:shd w:val="clear" w:color="auto" w:fill="EFF6FF"/>
          </w:tcPr>
          <w:p>
            <w:r>
              <w:rPr>
                <w:rFonts w:ascii="Calibri" w:hAnsi="Calibri"/>
                <w:b w:val="0"/>
                <w:i w:val="0"/>
                <w:sz w:val="19"/>
              </w:rPr>
              <w:t>Production timestamp</w:t>
            </w:r>
          </w:p>
        </w:tc>
      </w:tr>
    </w:tbl>
    <w:p/>
    <w:p>
      <w:pPr>
        <w:spacing w:before="200" w:after="60"/>
      </w:pPr>
      <w:r>
        <w:rPr>
          <w:rFonts w:ascii="Calibri" w:hAnsi="Calibri"/>
          <w:b/>
          <w:i w:val="0"/>
          <w:color w:val="2563EB"/>
          <w:sz w:val="26"/>
        </w:rPr>
        <w:t>1.3 Lead Time and Flow Efficiency Formulas</w:t>
      </w:r>
    </w:p>
    <w:p>
      <w:pPr>
        <w:spacing w:before="120" w:after="120"/>
        <w:ind w:left="480" w:right="480"/>
        <w:shd w:val="clear" w:color="auto" w:fill="DBEAFE"/>
      </w:pPr>
      <w:r>
        <w:rPr>
          <w:rFonts w:ascii="Calibri" w:hAnsi="Calibri"/>
          <w:b w:val="0"/>
          <w:i/>
          <w:color w:val="0F2D5E"/>
          <w:sz w:val="21"/>
        </w:rPr>
        <w:t>Lead Time (LT) = Sum of all phase durations from ticket creation to resolution (calendar days)</w:t>
        <w:br/>
        <w:t>Process Time (PT) = Sum of active work phases only (phases where humans are actively working)</w:t>
        <w:br/>
        <w:t>Wait Time (WT) = LT − PT (time in queues, approvals, and blocking states)</w:t>
        <w:br/>
        <w:t>Flow Efficiency (FE) = PT ÷ LT × 100%</w:t>
        <w:br/>
        <w:t>Sector Benchmark: FE averages 17.8% in Financial Services (DORA State of DevOps 2024)</w:t>
      </w:r>
    </w:p>
    <w:p>
      <w:pPr>
        <w:spacing w:before="280" w:after="80"/>
      </w:pPr>
      <w:r>
        <w:rPr>
          <w:rFonts w:ascii="Calibri" w:hAnsi="Calibri"/>
          <w:b/>
          <w:i w:val="0"/>
          <w:color w:val="0F2D5E"/>
          <w:sz w:val="32"/>
        </w:rPr>
        <w:t>2. DORA Assessment Methodology</w:t>
      </w:r>
    </w:p>
    <w:p>
      <w:pPr>
        <w:spacing w:before="200" w:after="60"/>
      </w:pPr>
      <w:r>
        <w:rPr>
          <w:rFonts w:ascii="Calibri" w:hAnsi="Calibri"/>
          <w:b/>
          <w:i w:val="0"/>
          <w:color w:val="2563EB"/>
          <w:sz w:val="26"/>
        </w:rPr>
        <w:t>2.1 Framework Overview</w:t>
      </w:r>
    </w:p>
    <w:p>
      <w:pPr>
        <w:spacing w:after="80"/>
      </w:pPr>
      <w:r>
        <w:rPr>
          <w:rFonts w:ascii="Calibri" w:hAnsi="Calibri"/>
          <w:b w:val="0"/>
          <w:i w:val="0"/>
          <w:sz w:val="21"/>
        </w:rPr>
        <w:t>The platform implements the DORA (DevOps Research and Assessment) framework as developed by Google Cloud and the DORA research team. The framework measures four key metrics — Deployment Frequency, Lead Time for Changes, Time to Restore Service (MTTR), and Change Failure Rate — and extends them into four capability dimensions assessed via 73 questions.</w:t>
      </w:r>
    </w:p>
    <w:p>
      <w:pPr>
        <w:spacing w:before="200" w:after="60"/>
      </w:pPr>
      <w:r>
        <w:rPr>
          <w:rFonts w:ascii="Calibri" w:hAnsi="Calibri"/>
          <w:b/>
          <w:i w:val="0"/>
          <w:color w:val="2563EB"/>
          <w:sz w:val="26"/>
        </w:rPr>
        <w:t>2.2 Scoring Model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0F2D5E"/>
          </w:tcPr>
          <w:p>
            <w:pPr>
              <w:jc w:val="center"/>
            </w:pPr>
            <w:r>
              <w:rPr>
                <w:rFonts w:ascii="Calibri" w:hAnsi="Calibri"/>
                <w:b/>
                <w:i w:val="0"/>
                <w:color w:val="FFFFFF"/>
                <w:sz w:val="19"/>
              </w:rPr>
              <w:t>Dimension</w:t>
            </w:r>
          </w:p>
        </w:tc>
        <w:tc>
          <w:tcPr>
            <w:tcW w:type="dxa" w:w="1728"/>
            <w:shd w:val="clear" w:color="auto" w:fill="0F2D5E"/>
          </w:tcPr>
          <w:p>
            <w:pPr>
              <w:jc w:val="center"/>
            </w:pPr>
            <w:r>
              <w:rPr>
                <w:rFonts w:ascii="Calibri" w:hAnsi="Calibri"/>
                <w:b/>
                <w:i w:val="0"/>
                <w:color w:val="FFFFFF"/>
                <w:sz w:val="19"/>
              </w:rPr>
              <w:t>Questions</w:t>
            </w:r>
          </w:p>
        </w:tc>
        <w:tc>
          <w:tcPr>
            <w:tcW w:type="dxa" w:w="1728"/>
            <w:shd w:val="clear" w:color="auto" w:fill="0F2D5E"/>
          </w:tcPr>
          <w:p>
            <w:pPr>
              <w:jc w:val="center"/>
            </w:pPr>
            <w:r>
              <w:rPr>
                <w:rFonts w:ascii="Calibri" w:hAnsi="Calibri"/>
                <w:b/>
                <w:i w:val="0"/>
                <w:color w:val="FFFFFF"/>
                <w:sz w:val="19"/>
              </w:rPr>
              <w:t>Weight</w:t>
            </w:r>
          </w:p>
        </w:tc>
        <w:tc>
          <w:tcPr>
            <w:tcW w:type="dxa" w:w="6480"/>
            <w:shd w:val="clear" w:color="auto" w:fill="0F2D5E"/>
          </w:tcPr>
          <w:p>
            <w:pPr>
              <w:jc w:val="center"/>
            </w:pPr>
            <w:r>
              <w:rPr>
                <w:rFonts w:ascii="Calibri" w:hAnsi="Calibri"/>
                <w:b/>
                <w:i w:val="0"/>
                <w:color w:val="FFFFFF"/>
                <w:sz w:val="19"/>
              </w:rPr>
              <w:t>Band Thresholds</w:t>
            </w:r>
          </w:p>
        </w:tc>
      </w:tr>
      <w:tr>
        <w:tc>
          <w:tcPr>
            <w:tcW w:type="dxa" w:w="2880"/>
            <w:shd w:val="clear" w:color="auto" w:fill="EFF6FF"/>
          </w:tcPr>
          <w:p>
            <w:r>
              <w:rPr>
                <w:rFonts w:ascii="Calibri" w:hAnsi="Calibri"/>
                <w:b w:val="0"/>
                <w:i w:val="0"/>
                <w:sz w:val="19"/>
              </w:rPr>
              <w:t>Continuous Integration</w:t>
            </w:r>
          </w:p>
        </w:tc>
        <w:tc>
          <w:tcPr>
            <w:tcW w:type="dxa" w:w="1728"/>
            <w:shd w:val="clear" w:color="auto" w:fill="EFF6FF"/>
          </w:tcPr>
          <w:p>
            <w:r>
              <w:rPr>
                <w:rFonts w:ascii="Calibri" w:hAnsi="Calibri"/>
                <w:b w:val="0"/>
                <w:i w:val="0"/>
                <w:sz w:val="19"/>
              </w:rPr>
              <w:t>19</w:t>
            </w:r>
          </w:p>
        </w:tc>
        <w:tc>
          <w:tcPr>
            <w:tcW w:type="dxa" w:w="1728"/>
            <w:shd w:val="clear" w:color="auto" w:fill="EFF6FF"/>
          </w:tcPr>
          <w:p>
            <w:r>
              <w:rPr>
                <w:rFonts w:ascii="Calibri" w:hAnsi="Calibri"/>
                <w:b w:val="0"/>
                <w:i w:val="0"/>
                <w:sz w:val="19"/>
              </w:rPr>
              <w:t>25%</w:t>
            </w:r>
          </w:p>
        </w:tc>
        <w:tc>
          <w:tcPr>
            <w:tcW w:type="dxa" w:w="6480"/>
            <w:shd w:val="clear" w:color="auto" w:fill="EFF6FF"/>
          </w:tcPr>
          <w:p>
            <w:r>
              <w:rPr>
                <w:rFonts w:ascii="Calibri" w:hAnsi="Calibri"/>
                <w:b w:val="0"/>
                <w:i w:val="0"/>
                <w:sz w:val="19"/>
              </w:rPr>
              <w:t>CRAWL &lt;1.5 / WALK 1.5–3.0 / RUN 3.0–4.5 / FLY &gt;4.5</w:t>
            </w:r>
          </w:p>
        </w:tc>
      </w:tr>
      <w:tr>
        <w:tc>
          <w:tcPr>
            <w:tcW w:type="dxa" w:w="2880"/>
          </w:tcPr>
          <w:p>
            <w:r>
              <w:rPr>
                <w:rFonts w:ascii="Calibri" w:hAnsi="Calibri"/>
                <w:b w:val="0"/>
                <w:i w:val="0"/>
                <w:sz w:val="19"/>
              </w:rPr>
              <w:t>Continuous Deployment</w:t>
            </w:r>
          </w:p>
        </w:tc>
        <w:tc>
          <w:tcPr>
            <w:tcW w:type="dxa" w:w="1728"/>
          </w:tcPr>
          <w:p>
            <w:r>
              <w:rPr>
                <w:rFonts w:ascii="Calibri" w:hAnsi="Calibri"/>
                <w:b w:val="0"/>
                <w:i w:val="0"/>
                <w:sz w:val="19"/>
              </w:rPr>
              <w:t>18</w:t>
            </w:r>
          </w:p>
        </w:tc>
        <w:tc>
          <w:tcPr>
            <w:tcW w:type="dxa" w:w="1728"/>
          </w:tcPr>
          <w:p>
            <w:r>
              <w:rPr>
                <w:rFonts w:ascii="Calibri" w:hAnsi="Calibri"/>
                <w:b w:val="0"/>
                <w:i w:val="0"/>
                <w:sz w:val="19"/>
              </w:rPr>
              <w:t>25%</w:t>
            </w:r>
          </w:p>
        </w:tc>
        <w:tc>
          <w:tcPr>
            <w:tcW w:type="dxa" w:w="6480"/>
          </w:tcPr>
          <w:p>
            <w:r>
              <w:rPr>
                <w:rFonts w:ascii="Calibri" w:hAnsi="Calibri"/>
                <w:b w:val="0"/>
                <w:i w:val="0"/>
                <w:sz w:val="19"/>
              </w:rPr>
              <w:t>CRAWL &lt;1.5 / WALK 1.5–3.0 / RUN 3.0–4.5 / FLY &gt;4.5</w:t>
            </w:r>
          </w:p>
        </w:tc>
      </w:tr>
      <w:tr>
        <w:tc>
          <w:tcPr>
            <w:tcW w:type="dxa" w:w="2880"/>
            <w:shd w:val="clear" w:color="auto" w:fill="EFF6FF"/>
          </w:tcPr>
          <w:p>
            <w:r>
              <w:rPr>
                <w:rFonts w:ascii="Calibri" w:hAnsi="Calibri"/>
                <w:b w:val="0"/>
                <w:i w:val="0"/>
                <w:sz w:val="19"/>
              </w:rPr>
              <w:t>Continuous Testing</w:t>
            </w:r>
          </w:p>
        </w:tc>
        <w:tc>
          <w:tcPr>
            <w:tcW w:type="dxa" w:w="1728"/>
            <w:shd w:val="clear" w:color="auto" w:fill="EFF6FF"/>
          </w:tcPr>
          <w:p>
            <w:r>
              <w:rPr>
                <w:rFonts w:ascii="Calibri" w:hAnsi="Calibri"/>
                <w:b w:val="0"/>
                <w:i w:val="0"/>
                <w:sz w:val="19"/>
              </w:rPr>
              <w:t>19</w:t>
            </w:r>
          </w:p>
        </w:tc>
        <w:tc>
          <w:tcPr>
            <w:tcW w:type="dxa" w:w="1728"/>
            <w:shd w:val="clear" w:color="auto" w:fill="EFF6FF"/>
          </w:tcPr>
          <w:p>
            <w:r>
              <w:rPr>
                <w:rFonts w:ascii="Calibri" w:hAnsi="Calibri"/>
                <w:b w:val="0"/>
                <w:i w:val="0"/>
                <w:sz w:val="19"/>
              </w:rPr>
              <w:t>25%</w:t>
            </w:r>
          </w:p>
        </w:tc>
        <w:tc>
          <w:tcPr>
            <w:tcW w:type="dxa" w:w="6480"/>
            <w:shd w:val="clear" w:color="auto" w:fill="EFF6FF"/>
          </w:tcPr>
          <w:p>
            <w:r>
              <w:rPr>
                <w:rFonts w:ascii="Calibri" w:hAnsi="Calibri"/>
                <w:b w:val="0"/>
                <w:i w:val="0"/>
                <w:sz w:val="19"/>
              </w:rPr>
              <w:t>CRAWL &lt;1.5 / WALK 1.5–3.0 / RUN 3.0–4.5 / FLY &gt;4.5</w:t>
            </w:r>
          </w:p>
        </w:tc>
      </w:tr>
      <w:tr>
        <w:tc>
          <w:tcPr>
            <w:tcW w:type="dxa" w:w="2880"/>
          </w:tcPr>
          <w:p>
            <w:r>
              <w:rPr>
                <w:rFonts w:ascii="Calibri" w:hAnsi="Calibri"/>
                <w:b w:val="0"/>
                <w:i w:val="0"/>
                <w:sz w:val="19"/>
              </w:rPr>
              <w:t>Culture &amp; Process</w:t>
            </w:r>
          </w:p>
        </w:tc>
        <w:tc>
          <w:tcPr>
            <w:tcW w:type="dxa" w:w="1728"/>
          </w:tcPr>
          <w:p>
            <w:r>
              <w:rPr>
                <w:rFonts w:ascii="Calibri" w:hAnsi="Calibri"/>
                <w:b w:val="0"/>
                <w:i w:val="0"/>
                <w:sz w:val="19"/>
              </w:rPr>
              <w:t>17</w:t>
            </w:r>
          </w:p>
        </w:tc>
        <w:tc>
          <w:tcPr>
            <w:tcW w:type="dxa" w:w="1728"/>
          </w:tcPr>
          <w:p>
            <w:r>
              <w:rPr>
                <w:rFonts w:ascii="Calibri" w:hAnsi="Calibri"/>
                <w:b w:val="0"/>
                <w:i w:val="0"/>
                <w:sz w:val="19"/>
              </w:rPr>
              <w:t>25%</w:t>
            </w:r>
          </w:p>
        </w:tc>
        <w:tc>
          <w:tcPr>
            <w:tcW w:type="dxa" w:w="6480"/>
          </w:tcPr>
          <w:p>
            <w:r>
              <w:rPr>
                <w:rFonts w:ascii="Calibri" w:hAnsi="Calibri"/>
                <w:b w:val="0"/>
                <w:i w:val="0"/>
                <w:sz w:val="19"/>
              </w:rPr>
              <w:t>CRAWL &lt;1.5 / WALK 1.5–3.0 / RUN 3.0–4.5 / FLY &gt;4.5</w:t>
            </w:r>
          </w:p>
        </w:tc>
      </w:tr>
    </w:tbl>
    <w:p/>
    <w:p>
      <w:pPr>
        <w:spacing w:before="200" w:after="60"/>
      </w:pPr>
      <w:r>
        <w:rPr>
          <w:rFonts w:ascii="Calibri" w:hAnsi="Calibri"/>
          <w:b/>
          <w:i w:val="0"/>
          <w:color w:val="2563EB"/>
          <w:sz w:val="26"/>
        </w:rPr>
        <w:t>2.3 Data Source Integration</w:t>
      </w:r>
    </w:p>
    <w:p>
      <w:pPr>
        <w:spacing w:after="80"/>
      </w:pPr>
      <w:r>
        <w:rPr>
          <w:rFonts w:ascii="Calibri" w:hAnsi="Calibri"/>
          <w:b w:val="0"/>
          <w:i w:val="0"/>
          <w:sz w:val="21"/>
        </w:rPr>
        <w:t>DORA scores are derived from 4 configured data sources: Jira (change failure rate, lead time proxies), Confluence (deployment frequency, runbook quality), SonarQube (code quality, test coverage), and GitHub (PR cycle time, deployment frequency). Manual override is available for any score via the platform UI.</w:t>
      </w:r>
    </w:p>
    <w:p>
      <w:pPr>
        <w:spacing w:before="280" w:after="80"/>
      </w:pPr>
      <w:r>
        <w:rPr>
          <w:rFonts w:ascii="Calibri" w:hAnsi="Calibri"/>
          <w:b/>
          <w:i w:val="0"/>
          <w:color w:val="0F2D5E"/>
          <w:sz w:val="32"/>
        </w:rPr>
        <w:t>3. Bottleneck Analysis Methodology</w:t>
      </w:r>
    </w:p>
    <w:p>
      <w:pPr>
        <w:spacing w:before="200" w:after="60"/>
      </w:pPr>
      <w:r>
        <w:rPr>
          <w:rFonts w:ascii="Calibri" w:hAnsi="Calibri"/>
          <w:b/>
          <w:i w:val="0"/>
          <w:color w:val="2563EB"/>
          <w:sz w:val="26"/>
        </w:rPr>
        <w:t>3.1 Bottleneck Identification Algorithm</w:t>
      </w:r>
    </w:p>
    <w:p>
      <w:pPr>
        <w:spacing w:after="80"/>
      </w:pPr>
      <w:r>
        <w:rPr>
          <w:rFonts w:ascii="Calibri" w:hAnsi="Calibri"/>
          <w:b w:val="0"/>
          <w:i w:val="0"/>
          <w:sz w:val="21"/>
        </w:rPr>
        <w:t>The Bottleneck Analyzer agent applies a multi-factor scoring model to identify constraints in the value stream. Each potential bottleneck is scored on four dimensions:</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0F2D5E"/>
          </w:tcPr>
          <w:p>
            <w:pPr>
              <w:jc w:val="center"/>
            </w:pPr>
            <w:r>
              <w:rPr>
                <w:rFonts w:ascii="Calibri" w:hAnsi="Calibri"/>
                <w:b/>
                <w:i w:val="0"/>
                <w:color w:val="FFFFFF"/>
                <w:sz w:val="19"/>
              </w:rPr>
              <w:t>Factor</w:t>
            </w:r>
          </w:p>
        </w:tc>
        <w:tc>
          <w:tcPr>
            <w:tcW w:type="dxa" w:w="1728"/>
            <w:shd w:val="clear" w:color="auto" w:fill="0F2D5E"/>
          </w:tcPr>
          <w:p>
            <w:pPr>
              <w:jc w:val="center"/>
            </w:pPr>
            <w:r>
              <w:rPr>
                <w:rFonts w:ascii="Calibri" w:hAnsi="Calibri"/>
                <w:b/>
                <w:i w:val="0"/>
                <w:color w:val="FFFFFF"/>
                <w:sz w:val="19"/>
              </w:rPr>
              <w:t>Weight</w:t>
            </w:r>
          </w:p>
        </w:tc>
        <w:tc>
          <w:tcPr>
            <w:tcW w:type="dxa" w:w="7200"/>
            <w:shd w:val="clear" w:color="auto" w:fill="0F2D5E"/>
          </w:tcPr>
          <w:p>
            <w:pPr>
              <w:jc w:val="center"/>
            </w:pPr>
            <w:r>
              <w:rPr>
                <w:rFonts w:ascii="Calibri" w:hAnsi="Calibri"/>
                <w:b/>
                <w:i w:val="0"/>
                <w:color w:val="FFFFFF"/>
                <w:sz w:val="19"/>
              </w:rPr>
              <w:t>Definition</w:t>
            </w:r>
          </w:p>
        </w:tc>
      </w:tr>
      <w:tr>
        <w:tc>
          <w:tcPr>
            <w:tcW w:type="dxa" w:w="3600"/>
            <w:shd w:val="clear" w:color="auto" w:fill="EFF6FF"/>
          </w:tcPr>
          <w:p>
            <w:r>
              <w:rPr>
                <w:rFonts w:ascii="Calibri" w:hAnsi="Calibri"/>
                <w:b w:val="0"/>
                <w:i w:val="0"/>
                <w:sz w:val="19"/>
              </w:rPr>
              <w:t>Wait Time Magnitude</w:t>
            </w:r>
          </w:p>
        </w:tc>
        <w:tc>
          <w:tcPr>
            <w:tcW w:type="dxa" w:w="1728"/>
            <w:shd w:val="clear" w:color="auto" w:fill="EFF6FF"/>
          </w:tcPr>
          <w:p>
            <w:r>
              <w:rPr>
                <w:rFonts w:ascii="Calibri" w:hAnsi="Calibri"/>
                <w:b w:val="0"/>
                <w:i w:val="0"/>
                <w:sz w:val="19"/>
              </w:rPr>
              <w:t>35%</w:t>
            </w:r>
          </w:p>
        </w:tc>
        <w:tc>
          <w:tcPr>
            <w:tcW w:type="dxa" w:w="7200"/>
            <w:shd w:val="clear" w:color="auto" w:fill="EFF6FF"/>
          </w:tcPr>
          <w:p>
            <w:r>
              <w:rPr>
                <w:rFonts w:ascii="Calibri" w:hAnsi="Calibri"/>
                <w:b w:val="0"/>
                <w:i w:val="0"/>
                <w:sz w:val="19"/>
              </w:rPr>
              <w:t>Total wait hours in this phase per 100 tickets</w:t>
            </w:r>
          </w:p>
        </w:tc>
      </w:tr>
      <w:tr>
        <w:tc>
          <w:tcPr>
            <w:tcW w:type="dxa" w:w="3600"/>
          </w:tcPr>
          <w:p>
            <w:r>
              <w:rPr>
                <w:rFonts w:ascii="Calibri" w:hAnsi="Calibri"/>
                <w:b w:val="0"/>
                <w:i w:val="0"/>
                <w:sz w:val="19"/>
              </w:rPr>
              <w:t>Flow Efficiency Delta</w:t>
            </w:r>
          </w:p>
        </w:tc>
        <w:tc>
          <w:tcPr>
            <w:tcW w:type="dxa" w:w="1728"/>
          </w:tcPr>
          <w:p>
            <w:r>
              <w:rPr>
                <w:rFonts w:ascii="Calibri" w:hAnsi="Calibri"/>
                <w:b w:val="0"/>
                <w:i w:val="0"/>
                <w:sz w:val="19"/>
              </w:rPr>
              <w:t>25%</w:t>
            </w:r>
          </w:p>
        </w:tc>
        <w:tc>
          <w:tcPr>
            <w:tcW w:type="dxa" w:w="7200"/>
          </w:tcPr>
          <w:p>
            <w:r>
              <w:rPr>
                <w:rFonts w:ascii="Calibri" w:hAnsi="Calibri"/>
                <w:b w:val="0"/>
                <w:i w:val="0"/>
                <w:sz w:val="19"/>
              </w:rPr>
              <w:t>Phase FE vs. sector benchmark FE for same phase</w:t>
            </w:r>
          </w:p>
        </w:tc>
      </w:tr>
      <w:tr>
        <w:tc>
          <w:tcPr>
            <w:tcW w:type="dxa" w:w="3600"/>
            <w:shd w:val="clear" w:color="auto" w:fill="EFF6FF"/>
          </w:tcPr>
          <w:p>
            <w:r>
              <w:rPr>
                <w:rFonts w:ascii="Calibri" w:hAnsi="Calibri"/>
                <w:b w:val="0"/>
                <w:i w:val="0"/>
                <w:sz w:val="19"/>
              </w:rPr>
              <w:t>Frequency</w:t>
            </w:r>
          </w:p>
        </w:tc>
        <w:tc>
          <w:tcPr>
            <w:tcW w:type="dxa" w:w="1728"/>
            <w:shd w:val="clear" w:color="auto" w:fill="EFF6FF"/>
          </w:tcPr>
          <w:p>
            <w:r>
              <w:rPr>
                <w:rFonts w:ascii="Calibri" w:hAnsi="Calibri"/>
                <w:b w:val="0"/>
                <w:i w:val="0"/>
                <w:sz w:val="19"/>
              </w:rPr>
              <w:t>20%</w:t>
            </w:r>
          </w:p>
        </w:tc>
        <w:tc>
          <w:tcPr>
            <w:tcW w:type="dxa" w:w="7200"/>
            <w:shd w:val="clear" w:color="auto" w:fill="EFF6FF"/>
          </w:tcPr>
          <w:p>
            <w:r>
              <w:rPr>
                <w:rFonts w:ascii="Calibri" w:hAnsi="Calibri"/>
                <w:b w:val="0"/>
                <w:i w:val="0"/>
                <w:sz w:val="19"/>
              </w:rPr>
              <w:t>% of tickets affected by this type of delay</w:t>
            </w:r>
          </w:p>
        </w:tc>
      </w:tr>
      <w:tr>
        <w:tc>
          <w:tcPr>
            <w:tcW w:type="dxa" w:w="3600"/>
          </w:tcPr>
          <w:p>
            <w:r>
              <w:rPr>
                <w:rFonts w:ascii="Calibri" w:hAnsi="Calibri"/>
                <w:b w:val="0"/>
                <w:i w:val="0"/>
                <w:sz w:val="19"/>
              </w:rPr>
              <w:t>Benchmark Gap</w:t>
            </w:r>
          </w:p>
        </w:tc>
        <w:tc>
          <w:tcPr>
            <w:tcW w:type="dxa" w:w="1728"/>
          </w:tcPr>
          <w:p>
            <w:r>
              <w:rPr>
                <w:rFonts w:ascii="Calibri" w:hAnsi="Calibri"/>
                <w:b w:val="0"/>
                <w:i w:val="0"/>
                <w:sz w:val="19"/>
              </w:rPr>
              <w:t>20%</w:t>
            </w:r>
          </w:p>
        </w:tc>
        <w:tc>
          <w:tcPr>
            <w:tcW w:type="dxa" w:w="7200"/>
          </w:tcPr>
          <w:p>
            <w:r>
              <w:rPr>
                <w:rFonts w:ascii="Calibri" w:hAnsi="Calibri"/>
                <w:b w:val="0"/>
                <w:i w:val="0"/>
                <w:sz w:val="19"/>
              </w:rPr>
              <w:t>Phase LT vs. top-quartile peer benchmark for same phase</w:t>
            </w:r>
          </w:p>
        </w:tc>
      </w:tr>
    </w:tbl>
    <w:p/>
    <w:p>
      <w:pPr>
        <w:spacing w:before="200" w:after="60"/>
      </w:pPr>
      <w:r>
        <w:rPr>
          <w:rFonts w:ascii="Calibri" w:hAnsi="Calibri"/>
          <w:b/>
          <w:i w:val="0"/>
          <w:color w:val="2563EB"/>
          <w:sz w:val="26"/>
        </w:rPr>
        <w:t>3.2 Severity Classification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0F2D5E"/>
          </w:tcPr>
          <w:p>
            <w:pPr>
              <w:jc w:val="center"/>
            </w:pPr>
            <w:r>
              <w:rPr>
                <w:rFonts w:ascii="Calibri" w:hAnsi="Calibri"/>
                <w:b/>
                <w:i w:val="0"/>
                <w:color w:val="FFFFFF"/>
                <w:sz w:val="19"/>
              </w:rPr>
              <w:t>Severity</w:t>
            </w:r>
          </w:p>
        </w:tc>
        <w:tc>
          <w:tcPr>
            <w:tcW w:type="dxa" w:w="2160"/>
            <w:shd w:val="clear" w:color="auto" w:fill="0F2D5E"/>
          </w:tcPr>
          <w:p>
            <w:pPr>
              <w:jc w:val="center"/>
            </w:pPr>
            <w:r>
              <w:rPr>
                <w:rFonts w:ascii="Calibri" w:hAnsi="Calibri"/>
                <w:b/>
                <w:i w:val="0"/>
                <w:color w:val="FFFFFF"/>
                <w:sz w:val="19"/>
              </w:rPr>
              <w:t>Score Range</w:t>
            </w:r>
          </w:p>
        </w:tc>
        <w:tc>
          <w:tcPr>
            <w:tcW w:type="dxa" w:w="3600"/>
            <w:shd w:val="clear" w:color="auto" w:fill="0F2D5E"/>
          </w:tcPr>
          <w:p>
            <w:pPr>
              <w:jc w:val="center"/>
            </w:pPr>
            <w:r>
              <w:rPr>
                <w:rFonts w:ascii="Calibri" w:hAnsi="Calibri"/>
                <w:b/>
                <w:i w:val="0"/>
                <w:color w:val="FFFFFF"/>
                <w:sz w:val="19"/>
              </w:rPr>
              <w:t>Annual Waste Threshold</w:t>
            </w:r>
          </w:p>
        </w:tc>
        <w:tc>
          <w:tcPr>
            <w:tcW w:type="dxa" w:w="5040"/>
            <w:shd w:val="clear" w:color="auto" w:fill="0F2D5E"/>
          </w:tcPr>
          <w:p>
            <w:pPr>
              <w:jc w:val="center"/>
            </w:pPr>
            <w:r>
              <w:rPr>
                <w:rFonts w:ascii="Calibri" w:hAnsi="Calibri"/>
                <w:b/>
                <w:i w:val="0"/>
                <w:color w:val="FFFFFF"/>
                <w:sz w:val="19"/>
              </w:rPr>
              <w:t>Executive Escalation</w:t>
            </w:r>
          </w:p>
        </w:tc>
      </w:tr>
      <w:tr>
        <w:tc>
          <w:tcPr>
            <w:tcW w:type="dxa" w:w="2160"/>
            <w:shd w:val="clear" w:color="auto" w:fill="EFF6FF"/>
          </w:tcPr>
          <w:p>
            <w:r>
              <w:rPr>
                <w:rFonts w:ascii="Calibri" w:hAnsi="Calibri"/>
                <w:b w:val="0"/>
                <w:i w:val="0"/>
                <w:sz w:val="19"/>
              </w:rPr>
              <w:t>Critical</w:t>
            </w:r>
          </w:p>
        </w:tc>
        <w:tc>
          <w:tcPr>
            <w:tcW w:type="dxa" w:w="2160"/>
            <w:shd w:val="clear" w:color="auto" w:fill="EFF6FF"/>
          </w:tcPr>
          <w:p>
            <w:r>
              <w:rPr>
                <w:rFonts w:ascii="Calibri" w:hAnsi="Calibri"/>
                <w:b w:val="0"/>
                <w:i w:val="0"/>
                <w:sz w:val="19"/>
              </w:rPr>
              <w:t>80–100</w:t>
            </w:r>
          </w:p>
        </w:tc>
        <w:tc>
          <w:tcPr>
            <w:tcW w:type="dxa" w:w="3600"/>
            <w:shd w:val="clear" w:color="auto" w:fill="EFF6FF"/>
          </w:tcPr>
          <w:p>
            <w:r>
              <w:rPr>
                <w:rFonts w:ascii="Calibri" w:hAnsi="Calibri"/>
                <w:b w:val="0"/>
                <w:i w:val="0"/>
                <w:sz w:val="19"/>
              </w:rPr>
              <w:t>≥200 hours / year</w:t>
            </w:r>
          </w:p>
        </w:tc>
        <w:tc>
          <w:tcPr>
            <w:tcW w:type="dxa" w:w="5040"/>
            <w:shd w:val="clear" w:color="auto" w:fill="EFF6FF"/>
          </w:tcPr>
          <w:p>
            <w:r>
              <w:rPr>
                <w:rFonts w:ascii="Calibri" w:hAnsi="Calibri"/>
                <w:b w:val="0"/>
                <w:i w:val="0"/>
                <w:sz w:val="19"/>
              </w:rPr>
              <w:t>Required — present to CTO</w:t>
            </w:r>
          </w:p>
        </w:tc>
      </w:tr>
      <w:tr>
        <w:tc>
          <w:tcPr>
            <w:tcW w:type="dxa" w:w="2160"/>
          </w:tcPr>
          <w:p>
            <w:r>
              <w:rPr>
                <w:rFonts w:ascii="Calibri" w:hAnsi="Calibri"/>
                <w:b w:val="0"/>
                <w:i w:val="0"/>
                <w:sz w:val="19"/>
              </w:rPr>
              <w:t>High</w:t>
            </w:r>
          </w:p>
        </w:tc>
        <w:tc>
          <w:tcPr>
            <w:tcW w:type="dxa" w:w="2160"/>
          </w:tcPr>
          <w:p>
            <w:r>
              <w:rPr>
                <w:rFonts w:ascii="Calibri" w:hAnsi="Calibri"/>
                <w:b w:val="0"/>
                <w:i w:val="0"/>
                <w:sz w:val="19"/>
              </w:rPr>
              <w:t>60–79</w:t>
            </w:r>
          </w:p>
        </w:tc>
        <w:tc>
          <w:tcPr>
            <w:tcW w:type="dxa" w:w="3600"/>
          </w:tcPr>
          <w:p>
            <w:r>
              <w:rPr>
                <w:rFonts w:ascii="Calibri" w:hAnsi="Calibri"/>
                <w:b w:val="0"/>
                <w:i w:val="0"/>
                <w:sz w:val="19"/>
              </w:rPr>
              <w:t>100–200 hours / year</w:t>
            </w:r>
          </w:p>
        </w:tc>
        <w:tc>
          <w:tcPr>
            <w:tcW w:type="dxa" w:w="5040"/>
          </w:tcPr>
          <w:p>
            <w:r>
              <w:rPr>
                <w:rFonts w:ascii="Calibri" w:hAnsi="Calibri"/>
                <w:b w:val="0"/>
                <w:i w:val="0"/>
                <w:sz w:val="19"/>
              </w:rPr>
              <w:t>Recommended — present to VP Eng</w:t>
            </w:r>
          </w:p>
        </w:tc>
      </w:tr>
      <w:tr>
        <w:tc>
          <w:tcPr>
            <w:tcW w:type="dxa" w:w="2160"/>
            <w:shd w:val="clear" w:color="auto" w:fill="EFF6FF"/>
          </w:tcPr>
          <w:p>
            <w:r>
              <w:rPr>
                <w:rFonts w:ascii="Calibri" w:hAnsi="Calibri"/>
                <w:b w:val="0"/>
                <w:i w:val="0"/>
                <w:sz w:val="19"/>
              </w:rPr>
              <w:t>Medium</w:t>
            </w:r>
          </w:p>
        </w:tc>
        <w:tc>
          <w:tcPr>
            <w:tcW w:type="dxa" w:w="2160"/>
            <w:shd w:val="clear" w:color="auto" w:fill="EFF6FF"/>
          </w:tcPr>
          <w:p>
            <w:r>
              <w:rPr>
                <w:rFonts w:ascii="Calibri" w:hAnsi="Calibri"/>
                <w:b w:val="0"/>
                <w:i w:val="0"/>
                <w:sz w:val="19"/>
              </w:rPr>
              <w:t>40–59</w:t>
            </w:r>
          </w:p>
        </w:tc>
        <w:tc>
          <w:tcPr>
            <w:tcW w:type="dxa" w:w="3600"/>
            <w:shd w:val="clear" w:color="auto" w:fill="EFF6FF"/>
          </w:tcPr>
          <w:p>
            <w:r>
              <w:rPr>
                <w:rFonts w:ascii="Calibri" w:hAnsi="Calibri"/>
                <w:b w:val="0"/>
                <w:i w:val="0"/>
                <w:sz w:val="19"/>
              </w:rPr>
              <w:t>50–100 hours / year</w:t>
            </w:r>
          </w:p>
        </w:tc>
        <w:tc>
          <w:tcPr>
            <w:tcW w:type="dxa" w:w="5040"/>
            <w:shd w:val="clear" w:color="auto" w:fill="EFF6FF"/>
          </w:tcPr>
          <w:p>
            <w:r>
              <w:rPr>
                <w:rFonts w:ascii="Calibri" w:hAnsi="Calibri"/>
                <w:b w:val="0"/>
                <w:i w:val="0"/>
                <w:sz w:val="19"/>
              </w:rPr>
              <w:t>Team Lead level</w:t>
            </w:r>
          </w:p>
        </w:tc>
      </w:tr>
      <w:tr>
        <w:tc>
          <w:tcPr>
            <w:tcW w:type="dxa" w:w="2160"/>
          </w:tcPr>
          <w:p>
            <w:r>
              <w:rPr>
                <w:rFonts w:ascii="Calibri" w:hAnsi="Calibri"/>
                <w:b w:val="0"/>
                <w:i w:val="0"/>
                <w:sz w:val="19"/>
              </w:rPr>
              <w:t>Low</w:t>
            </w:r>
          </w:p>
        </w:tc>
        <w:tc>
          <w:tcPr>
            <w:tcW w:type="dxa" w:w="2160"/>
          </w:tcPr>
          <w:p>
            <w:r>
              <w:rPr>
                <w:rFonts w:ascii="Calibri" w:hAnsi="Calibri"/>
                <w:b w:val="0"/>
                <w:i w:val="0"/>
                <w:sz w:val="19"/>
              </w:rPr>
              <w:t>&lt;40</w:t>
            </w:r>
          </w:p>
        </w:tc>
        <w:tc>
          <w:tcPr>
            <w:tcW w:type="dxa" w:w="3600"/>
          </w:tcPr>
          <w:p>
            <w:r>
              <w:rPr>
                <w:rFonts w:ascii="Calibri" w:hAnsi="Calibri"/>
                <w:b w:val="0"/>
                <w:i w:val="0"/>
                <w:sz w:val="19"/>
              </w:rPr>
              <w:t>&lt;50 hours / year</w:t>
            </w:r>
          </w:p>
        </w:tc>
        <w:tc>
          <w:tcPr>
            <w:tcW w:type="dxa" w:w="5040"/>
          </w:tcPr>
          <w:p>
            <w:r>
              <w:rPr>
                <w:rFonts w:ascii="Calibri" w:hAnsi="Calibri"/>
                <w:b w:val="0"/>
                <w:i w:val="0"/>
                <w:sz w:val="19"/>
              </w:rPr>
              <w:t>Engineering team discretion</w:t>
            </w:r>
          </w:p>
        </w:tc>
      </w:tr>
    </w:tbl>
    <w:p/>
    <w:p>
      <w:pPr>
        <w:spacing w:before="280" w:after="80"/>
      </w:pPr>
      <w:r>
        <w:rPr>
          <w:rFonts w:ascii="Calibri" w:hAnsi="Calibri"/>
          <w:b/>
          <w:i w:val="0"/>
          <w:color w:val="0F2D5E"/>
          <w:sz w:val="32"/>
        </w:rPr>
        <w:t>4. Improvement Generation Methodology</w:t>
      </w:r>
    </w:p>
    <w:p>
      <w:pPr>
        <w:spacing w:before="200" w:after="60"/>
      </w:pPr>
      <w:r>
        <w:rPr>
          <w:rFonts w:ascii="Calibri" w:hAnsi="Calibri"/>
          <w:b/>
          <w:i w:val="0"/>
          <w:color w:val="2563EB"/>
          <w:sz w:val="26"/>
        </w:rPr>
        <w:t>4.1 AI Improvement Matching</w:t>
      </w:r>
    </w:p>
    <w:p>
      <w:pPr>
        <w:spacing w:after="80"/>
      </w:pPr>
      <w:r>
        <w:rPr>
          <w:rFonts w:ascii="Calibri" w:hAnsi="Calibri"/>
          <w:b w:val="0"/>
          <w:i w:val="0"/>
          <w:sz w:val="21"/>
        </w:rPr>
        <w:t>The Improvement Generator agent maps each bottleneck to a catalogue of 47 AI-native improvement initiatives, scored by: ROI multiplier (data from sector implementations), effort estimate (story points and calendar weeks), dependency mapping (which improvements unlock others), and DORA impact (which DORA dimensions each improvement addresses).</w:t>
      </w:r>
    </w:p>
    <w:p>
      <w:pPr>
        <w:spacing w:before="200" w:after="60"/>
      </w:pPr>
      <w:r>
        <w:rPr>
          <w:rFonts w:ascii="Calibri" w:hAnsi="Calibri"/>
          <w:b/>
          <w:i w:val="0"/>
          <w:color w:val="2563EB"/>
          <w:sz w:val="26"/>
        </w:rPr>
        <w:t>4.2 ROI Estimation Model</w:t>
      </w:r>
    </w:p>
    <w:p>
      <w:pPr>
        <w:spacing w:before="120" w:after="120"/>
        <w:ind w:left="480" w:right="480"/>
        <w:shd w:val="clear" w:color="auto" w:fill="DBEAFE"/>
      </w:pPr>
      <w:r>
        <w:rPr>
          <w:rFonts w:ascii="Calibri" w:hAnsi="Calibri"/>
          <w:b w:val="0"/>
          <w:i/>
          <w:color w:val="0F2D5E"/>
          <w:sz w:val="21"/>
        </w:rPr>
        <w:t>ROI = (Annual Waste Hours Recovered × Blended Engineering Hourly Rate × Recovery %) ÷ Implementation Cost</w:t>
        <w:br/>
        <w:t>Default assumptions: $120/hr blended rate (FTE + overhead), 80% of projected waste recovered in Year 1, 95% in Year 2+. Implementation cost sourced from sector benchmarks for each initiative type.</w:t>
      </w:r>
    </w:p>
    <w:p>
      <w:pPr>
        <w:spacing w:before="200" w:after="60"/>
      </w:pPr>
      <w:r>
        <w:rPr>
          <w:rFonts w:ascii="Calibri" w:hAnsi="Calibri"/>
          <w:b/>
          <w:i w:val="0"/>
          <w:color w:val="2563EB"/>
          <w:sz w:val="26"/>
        </w:rPr>
        <w:t>4.3 Roadmap Horizon Definition</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0F2D5E"/>
          </w:tcPr>
          <w:p>
            <w:pPr>
              <w:jc w:val="center"/>
            </w:pPr>
            <w:r>
              <w:rPr>
                <w:rFonts w:ascii="Calibri" w:hAnsi="Calibri"/>
                <w:b/>
                <w:i w:val="0"/>
                <w:color w:val="FFFFFF"/>
                <w:sz w:val="19"/>
              </w:rPr>
              <w:t>Horizon</w:t>
            </w:r>
          </w:p>
        </w:tc>
        <w:tc>
          <w:tcPr>
            <w:tcW w:type="dxa" w:w="2592"/>
            <w:shd w:val="clear" w:color="auto" w:fill="0F2D5E"/>
          </w:tcPr>
          <w:p>
            <w:pPr>
              <w:jc w:val="center"/>
            </w:pPr>
            <w:r>
              <w:rPr>
                <w:rFonts w:ascii="Calibri" w:hAnsi="Calibri"/>
                <w:b/>
                <w:i w:val="0"/>
                <w:color w:val="FFFFFF"/>
                <w:sz w:val="19"/>
              </w:rPr>
              <w:t>Timeline</w:t>
            </w:r>
          </w:p>
        </w:tc>
        <w:tc>
          <w:tcPr>
            <w:tcW w:type="dxa" w:w="7776"/>
            <w:shd w:val="clear" w:color="auto" w:fill="0F2D5E"/>
          </w:tcPr>
          <w:p>
            <w:pPr>
              <w:jc w:val="center"/>
            </w:pPr>
            <w:r>
              <w:rPr>
                <w:rFonts w:ascii="Calibri" w:hAnsi="Calibri"/>
                <w:b/>
                <w:i w:val="0"/>
                <w:color w:val="FFFFFF"/>
                <w:sz w:val="19"/>
              </w:rPr>
              <w:t>Selection Criteria</w:t>
            </w:r>
          </w:p>
        </w:tc>
      </w:tr>
      <w:tr>
        <w:tc>
          <w:tcPr>
            <w:tcW w:type="dxa" w:w="2592"/>
            <w:shd w:val="clear" w:color="auto" w:fill="EFF6FF"/>
          </w:tcPr>
          <w:p>
            <w:r>
              <w:rPr>
                <w:rFonts w:ascii="Calibri" w:hAnsi="Calibri"/>
                <w:b w:val="0"/>
                <w:i w:val="0"/>
                <w:sz w:val="19"/>
              </w:rPr>
              <w:t>Quick Win</w:t>
            </w:r>
          </w:p>
        </w:tc>
        <w:tc>
          <w:tcPr>
            <w:tcW w:type="dxa" w:w="2592"/>
            <w:shd w:val="clear" w:color="auto" w:fill="EFF6FF"/>
          </w:tcPr>
          <w:p>
            <w:r>
              <w:rPr>
                <w:rFonts w:ascii="Calibri" w:hAnsi="Calibri"/>
                <w:b w:val="0"/>
                <w:i w:val="0"/>
                <w:sz w:val="19"/>
              </w:rPr>
              <w:t>0–90 days</w:t>
            </w:r>
          </w:p>
        </w:tc>
        <w:tc>
          <w:tcPr>
            <w:tcW w:type="dxa" w:w="7776"/>
            <w:shd w:val="clear" w:color="auto" w:fill="EFF6FF"/>
          </w:tcPr>
          <w:p>
            <w:r>
              <w:rPr>
                <w:rFonts w:ascii="Calibri" w:hAnsi="Calibri"/>
                <w:b w:val="0"/>
                <w:i w:val="0"/>
                <w:sz w:val="19"/>
              </w:rPr>
              <w:t>Effort ≤8 weeks, ROI ≥2×, no external dependency, DORA impact immediate</w:t>
            </w:r>
          </w:p>
        </w:tc>
      </w:tr>
      <w:tr>
        <w:tc>
          <w:tcPr>
            <w:tcW w:type="dxa" w:w="2592"/>
          </w:tcPr>
          <w:p>
            <w:r>
              <w:rPr>
                <w:rFonts w:ascii="Calibri" w:hAnsi="Calibri"/>
                <w:b w:val="0"/>
                <w:i w:val="0"/>
                <w:sz w:val="19"/>
              </w:rPr>
              <w:t>Medium-Term</w:t>
            </w:r>
          </w:p>
        </w:tc>
        <w:tc>
          <w:tcPr>
            <w:tcW w:type="dxa" w:w="2592"/>
          </w:tcPr>
          <w:p>
            <w:r>
              <w:rPr>
                <w:rFonts w:ascii="Calibri" w:hAnsi="Calibri"/>
                <w:b w:val="0"/>
                <w:i w:val="0"/>
                <w:sz w:val="19"/>
              </w:rPr>
              <w:t>3–6 months</w:t>
            </w:r>
          </w:p>
        </w:tc>
        <w:tc>
          <w:tcPr>
            <w:tcW w:type="dxa" w:w="7776"/>
          </w:tcPr>
          <w:p>
            <w:r>
              <w:rPr>
                <w:rFonts w:ascii="Calibri" w:hAnsi="Calibri"/>
                <w:b w:val="0"/>
                <w:i w:val="0"/>
                <w:sz w:val="19"/>
              </w:rPr>
              <w:t>Effort 2–4 months, ROI ≥3×, 1–2 dependencies, team-level decision</w:t>
            </w:r>
          </w:p>
        </w:tc>
      </w:tr>
      <w:tr>
        <w:tc>
          <w:tcPr>
            <w:tcW w:type="dxa" w:w="2592"/>
            <w:shd w:val="clear" w:color="auto" w:fill="EFF6FF"/>
          </w:tcPr>
          <w:p>
            <w:r>
              <w:rPr>
                <w:rFonts w:ascii="Calibri" w:hAnsi="Calibri"/>
                <w:b w:val="0"/>
                <w:i w:val="0"/>
                <w:sz w:val="19"/>
              </w:rPr>
              <w:t>Strategic</w:t>
            </w:r>
          </w:p>
        </w:tc>
        <w:tc>
          <w:tcPr>
            <w:tcW w:type="dxa" w:w="2592"/>
            <w:shd w:val="clear" w:color="auto" w:fill="EFF6FF"/>
          </w:tcPr>
          <w:p>
            <w:r>
              <w:rPr>
                <w:rFonts w:ascii="Calibri" w:hAnsi="Calibri"/>
                <w:b w:val="0"/>
                <w:i w:val="0"/>
                <w:sz w:val="19"/>
              </w:rPr>
              <w:t>6–12 months</w:t>
            </w:r>
          </w:p>
        </w:tc>
        <w:tc>
          <w:tcPr>
            <w:tcW w:type="dxa" w:w="7776"/>
            <w:shd w:val="clear" w:color="auto" w:fill="EFF6FF"/>
          </w:tcPr>
          <w:p>
            <w:r>
              <w:rPr>
                <w:rFonts w:ascii="Calibri" w:hAnsi="Calibri"/>
                <w:b w:val="0"/>
                <w:i w:val="0"/>
                <w:sz w:val="19"/>
              </w:rPr>
              <w:t>Effort 4–12 months, ROI ≥4×, cross-team or platform change required</w:t>
            </w:r>
          </w:p>
        </w:tc>
      </w:tr>
    </w:tbl>
    <w:p/>
    <w:p>
      <w:pPr>
        <w:spacing w:before="280" w:after="80"/>
      </w:pPr>
      <w:r>
        <w:rPr>
          <w:rFonts w:ascii="Calibri" w:hAnsi="Calibri"/>
          <w:b/>
          <w:i w:val="0"/>
          <w:color w:val="0F2D5E"/>
          <w:sz w:val="32"/>
        </w:rPr>
        <w:t>5. Business Case Methodology</w:t>
      </w:r>
    </w:p>
    <w:p>
      <w:pPr>
        <w:spacing w:before="200" w:after="60"/>
      </w:pPr>
      <w:r>
        <w:rPr>
          <w:rFonts w:ascii="Calibri" w:hAnsi="Calibri"/>
          <w:b/>
          <w:i w:val="0"/>
          <w:color w:val="2563EB"/>
          <w:sz w:val="26"/>
        </w:rPr>
        <w:t>5.1 Financial Model</w:t>
      </w:r>
    </w:p>
    <w:p>
      <w:pPr>
        <w:spacing w:after="80"/>
      </w:pPr>
      <w:r>
        <w:rPr>
          <w:rFonts w:ascii="Calibri" w:hAnsi="Calibri"/>
          <w:b w:val="0"/>
          <w:i w:val="0"/>
          <w:sz w:val="21"/>
        </w:rPr>
        <w:t>The Business Case Builder agent constructs a full 5-year financial model for each of 3 scenarios (Conservative, Expected, Optimistic). The model includes:</w:t>
      </w:r>
    </w:p>
    <w:p>
      <w:pPr>
        <w:pStyle w:val="ListBullet"/>
        <w:spacing w:after="40"/>
        <w:ind w:left="360"/>
      </w:pPr>
      <w:r>
        <w:rPr>
          <w:rFonts w:ascii="Calibri" w:hAnsi="Calibri"/>
          <w:b w:val="0"/>
          <w:i w:val="0"/>
          <w:sz w:val="21"/>
        </w:rPr>
        <w:t>Implementation costs (platform licence, consulting, internal effort, change management)</w:t>
      </w:r>
    </w:p>
    <w:p>
      <w:pPr>
        <w:pStyle w:val="ListBullet"/>
        <w:spacing w:after="40"/>
        <w:ind w:left="360"/>
      </w:pPr>
      <w:r>
        <w:rPr>
          <w:rFonts w:ascii="Calibri" w:hAnsi="Calibri"/>
          <w:b w:val="0"/>
          <w:i w:val="0"/>
          <w:sz w:val="21"/>
        </w:rPr>
        <w:t>Annual benefits: engineering time recovered, incident reduction, faster time-to-market revenue uplift</w:t>
      </w:r>
    </w:p>
    <w:p>
      <w:pPr>
        <w:pStyle w:val="ListBullet"/>
        <w:spacing w:after="40"/>
        <w:ind w:left="360"/>
      </w:pPr>
      <w:r>
        <w:rPr>
          <w:rFonts w:ascii="Calibri" w:hAnsi="Calibri"/>
          <w:b w:val="0"/>
          <w:i w:val="0"/>
          <w:sz w:val="21"/>
        </w:rPr>
        <w:t>DORA improvement multiplier: each DORA band improvement adds estimated 15–25% productivity gain</w:t>
      </w:r>
    </w:p>
    <w:p>
      <w:pPr>
        <w:pStyle w:val="ListBullet"/>
        <w:spacing w:after="40"/>
        <w:ind w:left="360"/>
      </w:pPr>
      <w:r>
        <w:rPr>
          <w:rFonts w:ascii="Calibri" w:hAnsi="Calibri"/>
          <w:b w:val="0"/>
          <w:i w:val="0"/>
          <w:sz w:val="21"/>
        </w:rPr>
        <w:t>NPV at 10% discount rate, payback period, 5-year ROI</w:t>
      </w:r>
    </w:p>
    <w:p>
      <w:pPr>
        <w:spacing w:before="200" w:after="60"/>
      </w:pPr>
      <w:r>
        <w:rPr>
          <w:rFonts w:ascii="Calibri" w:hAnsi="Calibri"/>
          <w:b/>
          <w:i w:val="0"/>
          <w:color w:val="2563EB"/>
          <w:sz w:val="26"/>
        </w:rPr>
        <w:t>5.2 Scenario Assumptions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032"/>
            <w:shd w:val="clear" w:color="auto" w:fill="0F2D5E"/>
          </w:tcPr>
          <w:p>
            <w:pPr>
              <w:jc w:val="center"/>
            </w:pPr>
            <w:r>
              <w:rPr>
                <w:rFonts w:ascii="Calibri" w:hAnsi="Calibri"/>
                <w:b/>
                <w:i w:val="0"/>
                <w:color w:val="FFFFFF"/>
                <w:sz w:val="19"/>
              </w:rPr>
              <w:t>Parameter</w:t>
            </w:r>
          </w:p>
        </w:tc>
        <w:tc>
          <w:tcPr>
            <w:tcW w:type="dxa" w:w="2592"/>
            <w:shd w:val="clear" w:color="auto" w:fill="0F2D5E"/>
          </w:tcPr>
          <w:p>
            <w:pPr>
              <w:jc w:val="center"/>
            </w:pPr>
            <w:r>
              <w:rPr>
                <w:rFonts w:ascii="Calibri" w:hAnsi="Calibri"/>
                <w:b/>
                <w:i w:val="0"/>
                <w:color w:val="FFFFFF"/>
                <w:sz w:val="19"/>
              </w:rPr>
              <w:t>Conservative</w:t>
            </w:r>
          </w:p>
        </w:tc>
        <w:tc>
          <w:tcPr>
            <w:tcW w:type="dxa" w:w="2592"/>
            <w:shd w:val="clear" w:color="auto" w:fill="0F2D5E"/>
          </w:tcPr>
          <w:p>
            <w:pPr>
              <w:jc w:val="center"/>
            </w:pPr>
            <w:r>
              <w:rPr>
                <w:rFonts w:ascii="Calibri" w:hAnsi="Calibri"/>
                <w:b/>
                <w:i w:val="0"/>
                <w:color w:val="FFFFFF"/>
                <w:sz w:val="19"/>
              </w:rPr>
              <w:t>Expected</w:t>
            </w:r>
          </w:p>
        </w:tc>
        <w:tc>
          <w:tcPr>
            <w:tcW w:type="dxa" w:w="2592"/>
            <w:shd w:val="clear" w:color="auto" w:fill="0F2D5E"/>
          </w:tcPr>
          <w:p>
            <w:pPr>
              <w:jc w:val="center"/>
            </w:pPr>
            <w:r>
              <w:rPr>
                <w:rFonts w:ascii="Calibri" w:hAnsi="Calibri"/>
                <w:b/>
                <w:i w:val="0"/>
                <w:color w:val="FFFFFF"/>
                <w:sz w:val="19"/>
              </w:rPr>
              <w:t>Optimistic</w:t>
            </w:r>
          </w:p>
        </w:tc>
      </w:tr>
      <w:tr>
        <w:tc>
          <w:tcPr>
            <w:tcW w:type="dxa" w:w="4032"/>
            <w:shd w:val="clear" w:color="auto" w:fill="EFF6FF"/>
          </w:tcPr>
          <w:p>
            <w:r>
              <w:rPr>
                <w:rFonts w:ascii="Calibri" w:hAnsi="Calibri"/>
                <w:b w:val="0"/>
                <w:i w:val="0"/>
                <w:sz w:val="19"/>
              </w:rPr>
              <w:t>Waste recovery rate</w:t>
            </w:r>
          </w:p>
        </w:tc>
        <w:tc>
          <w:tcPr>
            <w:tcW w:type="dxa" w:w="2592"/>
            <w:shd w:val="clear" w:color="auto" w:fill="EFF6FF"/>
          </w:tcPr>
          <w:p>
            <w:r>
              <w:rPr>
                <w:rFonts w:ascii="Calibri" w:hAnsi="Calibri"/>
                <w:b w:val="0"/>
                <w:i w:val="0"/>
                <w:sz w:val="19"/>
              </w:rPr>
              <w:t>50%</w:t>
            </w:r>
          </w:p>
        </w:tc>
        <w:tc>
          <w:tcPr>
            <w:tcW w:type="dxa" w:w="2592"/>
            <w:shd w:val="clear" w:color="auto" w:fill="EFF6FF"/>
          </w:tcPr>
          <w:p>
            <w:r>
              <w:rPr>
                <w:rFonts w:ascii="Calibri" w:hAnsi="Calibri"/>
                <w:b w:val="0"/>
                <w:i w:val="0"/>
                <w:sz w:val="19"/>
              </w:rPr>
              <w:t>70%</w:t>
            </w:r>
          </w:p>
        </w:tc>
        <w:tc>
          <w:tcPr>
            <w:tcW w:type="dxa" w:w="2592"/>
            <w:shd w:val="clear" w:color="auto" w:fill="EFF6FF"/>
          </w:tcPr>
          <w:p>
            <w:r>
              <w:rPr>
                <w:rFonts w:ascii="Calibri" w:hAnsi="Calibri"/>
                <w:b w:val="0"/>
                <w:i w:val="0"/>
                <w:sz w:val="19"/>
              </w:rPr>
              <w:t>90%</w:t>
            </w:r>
          </w:p>
        </w:tc>
      </w:tr>
      <w:tr>
        <w:tc>
          <w:tcPr>
            <w:tcW w:type="dxa" w:w="4032"/>
          </w:tcPr>
          <w:p>
            <w:r>
              <w:rPr>
                <w:rFonts w:ascii="Calibri" w:hAnsi="Calibri"/>
                <w:b w:val="0"/>
                <w:i w:val="0"/>
                <w:sz w:val="19"/>
              </w:rPr>
              <w:t>DORA band improvement</w:t>
            </w:r>
          </w:p>
        </w:tc>
        <w:tc>
          <w:tcPr>
            <w:tcW w:type="dxa" w:w="2592"/>
          </w:tcPr>
          <w:p>
            <w:r>
              <w:rPr>
                <w:rFonts w:ascii="Calibri" w:hAnsi="Calibri"/>
                <w:b w:val="0"/>
                <w:i w:val="0"/>
                <w:sz w:val="19"/>
              </w:rPr>
              <w:t>0.5 bands</w:t>
            </w:r>
          </w:p>
        </w:tc>
        <w:tc>
          <w:tcPr>
            <w:tcW w:type="dxa" w:w="2592"/>
          </w:tcPr>
          <w:p>
            <w:r>
              <w:rPr>
                <w:rFonts w:ascii="Calibri" w:hAnsi="Calibri"/>
                <w:b w:val="0"/>
                <w:i w:val="0"/>
                <w:sz w:val="19"/>
              </w:rPr>
              <w:t>1.0 bands</w:t>
            </w:r>
          </w:p>
        </w:tc>
        <w:tc>
          <w:tcPr>
            <w:tcW w:type="dxa" w:w="2592"/>
          </w:tcPr>
          <w:p>
            <w:r>
              <w:rPr>
                <w:rFonts w:ascii="Calibri" w:hAnsi="Calibri"/>
                <w:b w:val="0"/>
                <w:i w:val="0"/>
                <w:sz w:val="19"/>
              </w:rPr>
              <w:t>1.5 bands</w:t>
            </w:r>
          </w:p>
        </w:tc>
      </w:tr>
      <w:tr>
        <w:tc>
          <w:tcPr>
            <w:tcW w:type="dxa" w:w="4032"/>
            <w:shd w:val="clear" w:color="auto" w:fill="EFF6FF"/>
          </w:tcPr>
          <w:p>
            <w:r>
              <w:rPr>
                <w:rFonts w:ascii="Calibri" w:hAnsi="Calibri"/>
                <w:b w:val="0"/>
                <w:i w:val="0"/>
                <w:sz w:val="19"/>
              </w:rPr>
              <w:t>Implementation speed</w:t>
            </w:r>
          </w:p>
        </w:tc>
        <w:tc>
          <w:tcPr>
            <w:tcW w:type="dxa" w:w="2592"/>
            <w:shd w:val="clear" w:color="auto" w:fill="EFF6FF"/>
          </w:tcPr>
          <w:p>
            <w:r>
              <w:rPr>
                <w:rFonts w:ascii="Calibri" w:hAnsi="Calibri"/>
                <w:b w:val="0"/>
                <w:i w:val="0"/>
                <w:sz w:val="19"/>
              </w:rPr>
              <w:t>18 months</w:t>
            </w:r>
          </w:p>
        </w:tc>
        <w:tc>
          <w:tcPr>
            <w:tcW w:type="dxa" w:w="2592"/>
            <w:shd w:val="clear" w:color="auto" w:fill="EFF6FF"/>
          </w:tcPr>
          <w:p>
            <w:r>
              <w:rPr>
                <w:rFonts w:ascii="Calibri" w:hAnsi="Calibri"/>
                <w:b w:val="0"/>
                <w:i w:val="0"/>
                <w:sz w:val="19"/>
              </w:rPr>
              <w:t>12 months</w:t>
            </w:r>
          </w:p>
        </w:tc>
        <w:tc>
          <w:tcPr>
            <w:tcW w:type="dxa" w:w="2592"/>
            <w:shd w:val="clear" w:color="auto" w:fill="EFF6FF"/>
          </w:tcPr>
          <w:p>
            <w:r>
              <w:rPr>
                <w:rFonts w:ascii="Calibri" w:hAnsi="Calibri"/>
                <w:b w:val="0"/>
                <w:i w:val="0"/>
                <w:sz w:val="19"/>
              </w:rPr>
              <w:t>9 months</w:t>
            </w:r>
          </w:p>
        </w:tc>
      </w:tr>
      <w:tr>
        <w:tc>
          <w:tcPr>
            <w:tcW w:type="dxa" w:w="4032"/>
          </w:tcPr>
          <w:p>
            <w:r>
              <w:rPr>
                <w:rFonts w:ascii="Calibri" w:hAnsi="Calibri"/>
                <w:b w:val="0"/>
                <w:i w:val="0"/>
                <w:sz w:val="19"/>
              </w:rPr>
              <w:t>Benefit realisation lag</w:t>
            </w:r>
          </w:p>
        </w:tc>
        <w:tc>
          <w:tcPr>
            <w:tcW w:type="dxa" w:w="2592"/>
          </w:tcPr>
          <w:p>
            <w:r>
              <w:rPr>
                <w:rFonts w:ascii="Calibri" w:hAnsi="Calibri"/>
                <w:b w:val="0"/>
                <w:i w:val="0"/>
                <w:sz w:val="19"/>
              </w:rPr>
              <w:t>6 months</w:t>
            </w:r>
          </w:p>
        </w:tc>
        <w:tc>
          <w:tcPr>
            <w:tcW w:type="dxa" w:w="2592"/>
          </w:tcPr>
          <w:p>
            <w:r>
              <w:rPr>
                <w:rFonts w:ascii="Calibri" w:hAnsi="Calibri"/>
                <w:b w:val="0"/>
                <w:i w:val="0"/>
                <w:sz w:val="19"/>
              </w:rPr>
              <w:t>4 months</w:t>
            </w:r>
          </w:p>
        </w:tc>
        <w:tc>
          <w:tcPr>
            <w:tcW w:type="dxa" w:w="2592"/>
          </w:tcPr>
          <w:p>
            <w:r>
              <w:rPr>
                <w:rFonts w:ascii="Calibri" w:hAnsi="Calibri"/>
                <w:b w:val="0"/>
                <w:i w:val="0"/>
                <w:sz w:val="19"/>
              </w:rPr>
              <w:t>3 months</w:t>
            </w:r>
          </w:p>
        </w:tc>
      </w:tr>
      <w:tr>
        <w:tc>
          <w:tcPr>
            <w:tcW w:type="dxa" w:w="4032"/>
            <w:shd w:val="clear" w:color="auto" w:fill="EFF6FF"/>
          </w:tcPr>
          <w:p>
            <w:r>
              <w:rPr>
                <w:rFonts w:ascii="Calibri" w:hAnsi="Calibri"/>
                <w:b w:val="0"/>
                <w:i w:val="0"/>
                <w:sz w:val="19"/>
              </w:rPr>
              <w:t>Risk contingency</w:t>
            </w:r>
          </w:p>
        </w:tc>
        <w:tc>
          <w:tcPr>
            <w:tcW w:type="dxa" w:w="2592"/>
            <w:shd w:val="clear" w:color="auto" w:fill="EFF6FF"/>
          </w:tcPr>
          <w:p>
            <w:r>
              <w:rPr>
                <w:rFonts w:ascii="Calibri" w:hAnsi="Calibri"/>
                <w:b w:val="0"/>
                <w:i w:val="0"/>
                <w:sz w:val="19"/>
              </w:rPr>
              <w:t>25%</w:t>
            </w:r>
          </w:p>
        </w:tc>
        <w:tc>
          <w:tcPr>
            <w:tcW w:type="dxa" w:w="2592"/>
            <w:shd w:val="clear" w:color="auto" w:fill="EFF6FF"/>
          </w:tcPr>
          <w:p>
            <w:r>
              <w:rPr>
                <w:rFonts w:ascii="Calibri" w:hAnsi="Calibri"/>
                <w:b w:val="0"/>
                <w:i w:val="0"/>
                <w:sz w:val="19"/>
              </w:rPr>
              <w:t>15%</w:t>
            </w:r>
          </w:p>
        </w:tc>
        <w:tc>
          <w:tcPr>
            <w:tcW w:type="dxa" w:w="2592"/>
            <w:shd w:val="clear" w:color="auto" w:fill="EFF6FF"/>
          </w:tcPr>
          <w:p>
            <w:r>
              <w:rPr>
                <w:rFonts w:ascii="Calibri" w:hAnsi="Calibri"/>
                <w:b w:val="0"/>
                <w:i w:val="0"/>
                <w:sz w:val="19"/>
              </w:rPr>
              <w:t>5%</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